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D1C6" w14:textId="77777777" w:rsidR="007348CC" w:rsidRDefault="007348CC">
      <w:r>
        <w:tab/>
        <w:t xml:space="preserve"> </w:t>
      </w:r>
    </w:p>
    <w:p w14:paraId="4C087218" w14:textId="77777777" w:rsidR="007348CC" w:rsidRDefault="007348CC"/>
    <w:p w14:paraId="7B0DE266" w14:textId="77777777" w:rsidR="007348CC" w:rsidRDefault="007348CC"/>
    <w:tbl>
      <w:tblPr>
        <w:tblW w:w="0" w:type="auto"/>
        <w:tblLook w:val="01E0" w:firstRow="1" w:lastRow="1" w:firstColumn="1" w:lastColumn="1" w:noHBand="0" w:noVBand="0"/>
      </w:tblPr>
      <w:tblGrid>
        <w:gridCol w:w="6478"/>
        <w:gridCol w:w="6482"/>
      </w:tblGrid>
      <w:tr w:rsidR="00246B46" w14:paraId="70C48739" w14:textId="77777777" w:rsidTr="00277D1E">
        <w:tc>
          <w:tcPr>
            <w:tcW w:w="6588" w:type="dxa"/>
            <w:shd w:val="clear" w:color="auto" w:fill="auto"/>
          </w:tcPr>
          <w:p w14:paraId="5EB36188" w14:textId="77777777" w:rsidR="00246B46" w:rsidRDefault="00246B46"/>
          <w:p w14:paraId="22B18FA0" w14:textId="7F9DBE7B" w:rsidR="00246B46" w:rsidRDefault="00AE3822">
            <w:r>
              <w:rPr>
                <w:noProof/>
              </w:rPr>
              <w:drawing>
                <wp:inline distT="0" distB="0" distL="0" distR="0" wp14:anchorId="2ECD1D9F" wp14:editId="655B6E27">
                  <wp:extent cx="1371600" cy="517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14:paraId="10DFB236" w14:textId="40BED027" w:rsidR="00246B46" w:rsidRDefault="00AE3822" w:rsidP="00277D1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9F57F7B" wp14:editId="1A657178">
                  <wp:extent cx="1485900" cy="9728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48C18" w14:textId="77777777" w:rsidR="007348CC" w:rsidRDefault="007348CC"/>
    <w:p w14:paraId="7DFF4E41" w14:textId="77777777" w:rsidR="007348CC" w:rsidRDefault="007348CC"/>
    <w:p w14:paraId="466A1623" w14:textId="77777777" w:rsidR="007348CC" w:rsidRDefault="007348CC"/>
    <w:p w14:paraId="6EE026BC" w14:textId="77777777" w:rsidR="00246B46" w:rsidRDefault="00246B46" w:rsidP="00246B4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AFB53" w14:textId="77777777" w:rsidR="007348CC" w:rsidRDefault="007348CC" w:rsidP="00246B46">
      <w:pPr>
        <w:ind w:left="10080" w:firstLine="720"/>
      </w:pPr>
    </w:p>
    <w:p w14:paraId="79C870E5" w14:textId="77777777" w:rsidR="007348CC" w:rsidRDefault="007348CC"/>
    <w:p w14:paraId="19A007EA" w14:textId="77777777" w:rsidR="007348CC" w:rsidRDefault="007348CC">
      <w:r>
        <w:tab/>
      </w:r>
    </w:p>
    <w:p w14:paraId="2B5C6643" w14:textId="77777777" w:rsidR="007348CC" w:rsidRDefault="007348CC"/>
    <w:p w14:paraId="12CBF268" w14:textId="77777777" w:rsidR="007348CC" w:rsidRPr="00117F12" w:rsidRDefault="00B12385">
      <w:pPr>
        <w:rPr>
          <w:rFonts w:ascii="Arial" w:hAnsi="Arial" w:cs="Arial"/>
          <w:b/>
          <w:sz w:val="36"/>
          <w:lang w:val="fr-FR"/>
        </w:rPr>
      </w:pPr>
      <w:r w:rsidRPr="00117F12">
        <w:rPr>
          <w:rFonts w:ascii="Arial" w:hAnsi="Arial" w:cs="Arial"/>
          <w:b/>
          <w:sz w:val="36"/>
          <w:lang w:val="fr-FR"/>
        </w:rPr>
        <w:t xml:space="preserve">MSRS </w:t>
      </w:r>
      <w:r w:rsidR="00FB5832" w:rsidRPr="00117F12">
        <w:rPr>
          <w:rFonts w:ascii="Arial" w:hAnsi="Arial" w:cs="Arial"/>
          <w:b/>
          <w:sz w:val="36"/>
          <w:lang w:val="fr-FR"/>
        </w:rPr>
        <w:t>Report Format</w:t>
      </w:r>
      <w:r w:rsidR="0037188B" w:rsidRPr="00117F12">
        <w:rPr>
          <w:rFonts w:ascii="Arial" w:hAnsi="Arial" w:cs="Arial"/>
          <w:b/>
          <w:sz w:val="36"/>
          <w:lang w:val="fr-FR"/>
        </w:rPr>
        <w:t xml:space="preserve"> </w:t>
      </w:r>
      <w:r w:rsidR="00B31B72" w:rsidRPr="00117F12">
        <w:rPr>
          <w:rFonts w:ascii="Arial" w:hAnsi="Arial" w:cs="Arial"/>
          <w:b/>
          <w:sz w:val="36"/>
          <w:lang w:val="fr-FR"/>
        </w:rPr>
        <w:t>Documentation</w:t>
      </w:r>
    </w:p>
    <w:p w14:paraId="351F3FFF" w14:textId="77777777" w:rsidR="00246B46" w:rsidRPr="00922C76" w:rsidRDefault="00246B46">
      <w:pPr>
        <w:rPr>
          <w:rFonts w:ascii="Arial" w:hAnsi="Arial" w:cs="Arial"/>
          <w:b/>
          <w:sz w:val="40"/>
          <w:lang w:val="en-GB"/>
        </w:rPr>
      </w:pPr>
    </w:p>
    <w:p w14:paraId="0AE6E6AB" w14:textId="77777777" w:rsidR="005560CB" w:rsidRPr="00117F12" w:rsidRDefault="009B2EF3" w:rsidP="005560CB">
      <w:pPr>
        <w:rPr>
          <w:rFonts w:ascii="Arial" w:hAnsi="Arial" w:cs="Arial"/>
          <w:b/>
          <w:sz w:val="40"/>
          <w:lang w:val="fr-FR"/>
        </w:rPr>
      </w:pPr>
      <w:r w:rsidRPr="00922C76">
        <w:rPr>
          <w:rFonts w:ascii="Arial" w:hAnsi="Arial" w:cs="Arial"/>
          <w:b/>
          <w:sz w:val="40"/>
          <w:lang w:val="en-GB"/>
        </w:rPr>
        <w:t>Synchronous</w:t>
      </w:r>
      <w:r w:rsidRPr="00922C76">
        <w:rPr>
          <w:rFonts w:ascii="Arial" w:hAnsi="Arial" w:cs="Arial"/>
          <w:b/>
          <w:sz w:val="40"/>
        </w:rPr>
        <w:t xml:space="preserve"> Condensing </w:t>
      </w:r>
      <w:bookmarkStart w:id="0" w:name="_GoBack"/>
      <w:bookmarkEnd w:id="0"/>
      <w:r w:rsidRPr="00922C76">
        <w:rPr>
          <w:rFonts w:ascii="Arial" w:hAnsi="Arial" w:cs="Arial"/>
          <w:b/>
          <w:sz w:val="40"/>
        </w:rPr>
        <w:t>Credits</w:t>
      </w:r>
    </w:p>
    <w:p w14:paraId="572BD71B" w14:textId="77777777" w:rsidR="00246B46" w:rsidRPr="00117F12" w:rsidRDefault="00246B46">
      <w:pPr>
        <w:rPr>
          <w:rFonts w:ascii="Arial" w:hAnsi="Arial" w:cs="Arial"/>
          <w:b/>
          <w:sz w:val="40"/>
          <w:lang w:val="fr-FR"/>
        </w:rPr>
      </w:pPr>
    </w:p>
    <w:p w14:paraId="47E80E5C" w14:textId="07C5D9CF" w:rsidR="007348CC" w:rsidRPr="00117F12" w:rsidRDefault="007348CC">
      <w:pPr>
        <w:rPr>
          <w:rFonts w:ascii="Arial" w:hAnsi="Arial" w:cs="Arial"/>
          <w:sz w:val="22"/>
          <w:lang w:val="fr-FR"/>
        </w:rPr>
      </w:pPr>
      <w:r w:rsidRPr="00117F12">
        <w:rPr>
          <w:rFonts w:ascii="Arial" w:hAnsi="Arial" w:cs="Arial"/>
          <w:b/>
          <w:sz w:val="28"/>
          <w:lang w:val="fr-FR"/>
        </w:rPr>
        <w:t xml:space="preserve">Version </w:t>
      </w:r>
      <w:r w:rsidR="00C34D75">
        <w:rPr>
          <w:rFonts w:ascii="Arial" w:hAnsi="Arial" w:cs="Arial"/>
          <w:b/>
          <w:sz w:val="28"/>
          <w:lang w:val="fr-FR"/>
        </w:rPr>
        <w:t>4</w:t>
      </w:r>
    </w:p>
    <w:p w14:paraId="2C7BBA50" w14:textId="77777777" w:rsidR="007348CC" w:rsidRPr="00117F12" w:rsidRDefault="007348CC">
      <w:pPr>
        <w:rPr>
          <w:lang w:val="fr-FR"/>
        </w:rPr>
      </w:pPr>
    </w:p>
    <w:p w14:paraId="21A74F34" w14:textId="77777777" w:rsidR="007348CC" w:rsidRPr="00117F12" w:rsidRDefault="007348CC">
      <w:pPr>
        <w:rPr>
          <w:lang w:val="fr-FR"/>
        </w:rPr>
      </w:pPr>
    </w:p>
    <w:p w14:paraId="2A9643F3" w14:textId="77777777" w:rsidR="007348CC" w:rsidRPr="00117F12" w:rsidRDefault="007348CC">
      <w:pPr>
        <w:rPr>
          <w:lang w:val="fr-FR"/>
        </w:rPr>
      </w:pPr>
    </w:p>
    <w:p w14:paraId="61B994BF" w14:textId="77777777" w:rsidR="007348CC" w:rsidRPr="00117F12" w:rsidRDefault="007348CC">
      <w:pPr>
        <w:rPr>
          <w:lang w:val="fr-FR"/>
        </w:rPr>
      </w:pPr>
    </w:p>
    <w:p w14:paraId="278C4A91" w14:textId="77777777" w:rsidR="007348CC" w:rsidRPr="00117F12" w:rsidRDefault="007348CC">
      <w:pPr>
        <w:rPr>
          <w:lang w:val="fr-FR"/>
        </w:rPr>
      </w:pPr>
    </w:p>
    <w:p w14:paraId="4C1554B9" w14:textId="77777777" w:rsidR="007348CC" w:rsidRPr="00117F12" w:rsidRDefault="007348CC">
      <w:pPr>
        <w:rPr>
          <w:lang w:val="fr-FR"/>
        </w:rPr>
      </w:pPr>
    </w:p>
    <w:p w14:paraId="696011F3" w14:textId="77777777" w:rsidR="007348CC" w:rsidRPr="00117F12" w:rsidRDefault="007348CC">
      <w:pPr>
        <w:rPr>
          <w:lang w:val="fr-FR"/>
        </w:rPr>
      </w:pPr>
    </w:p>
    <w:p w14:paraId="259D81D4" w14:textId="77777777" w:rsidR="007348CC" w:rsidRPr="00117F12" w:rsidRDefault="007348CC">
      <w:pPr>
        <w:rPr>
          <w:lang w:val="fr-FR"/>
        </w:rPr>
      </w:pPr>
    </w:p>
    <w:p w14:paraId="268A60BC" w14:textId="77777777" w:rsidR="007348CC" w:rsidRPr="00117F12" w:rsidRDefault="007348CC">
      <w:pPr>
        <w:rPr>
          <w:lang w:val="fr-FR"/>
        </w:rPr>
      </w:pPr>
    </w:p>
    <w:p w14:paraId="25ADC10C" w14:textId="77777777" w:rsidR="007348CC" w:rsidRPr="00117F12" w:rsidRDefault="007348CC">
      <w:pPr>
        <w:rPr>
          <w:lang w:val="fr-FR"/>
        </w:rPr>
      </w:pPr>
    </w:p>
    <w:p w14:paraId="15D3BE68" w14:textId="77777777" w:rsidR="007348CC" w:rsidRPr="00117F12" w:rsidRDefault="007348CC">
      <w:pPr>
        <w:rPr>
          <w:lang w:val="fr-FR"/>
        </w:rPr>
      </w:pPr>
    </w:p>
    <w:p w14:paraId="773C5579" w14:textId="77777777" w:rsidR="007348CC" w:rsidRPr="00117F12" w:rsidRDefault="007348CC">
      <w:pPr>
        <w:rPr>
          <w:lang w:val="fr-FR"/>
        </w:rPr>
      </w:pPr>
    </w:p>
    <w:p w14:paraId="60A7FDEA" w14:textId="77777777" w:rsidR="007348CC" w:rsidRPr="00117F12" w:rsidRDefault="007348CC">
      <w:pPr>
        <w:rPr>
          <w:lang w:val="fr-FR"/>
        </w:rPr>
      </w:pPr>
    </w:p>
    <w:p w14:paraId="27C4D6B2" w14:textId="77777777" w:rsidR="007348CC" w:rsidRPr="00117F12" w:rsidRDefault="007348CC">
      <w:pPr>
        <w:rPr>
          <w:lang w:val="fr-FR"/>
        </w:rPr>
      </w:pPr>
    </w:p>
    <w:p w14:paraId="456D3897" w14:textId="77777777" w:rsidR="007348CC" w:rsidRPr="00FB5832" w:rsidRDefault="007348CC">
      <w:pPr>
        <w:rPr>
          <w:rFonts w:ascii="Arial" w:hAnsi="Arial" w:cs="Arial"/>
        </w:rPr>
      </w:pPr>
      <w:r w:rsidRPr="00FB5832">
        <w:rPr>
          <w:rFonts w:ascii="Arial" w:hAnsi="Arial" w:cs="Arial"/>
        </w:rPr>
        <w:t>Revision History</w:t>
      </w:r>
    </w:p>
    <w:p w14:paraId="0A20CF1A" w14:textId="77777777" w:rsidR="007348CC" w:rsidRPr="00FB5832" w:rsidRDefault="007348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3879"/>
      </w:tblGrid>
      <w:tr w:rsidR="001A3754" w:rsidRPr="00FB5832" w14:paraId="3AFD8E4F" w14:textId="77777777">
        <w:tc>
          <w:tcPr>
            <w:tcW w:w="1368" w:type="dxa"/>
            <w:shd w:val="clear" w:color="auto" w:fill="808080"/>
          </w:tcPr>
          <w:p w14:paraId="27B5CE8C" w14:textId="77777777" w:rsidR="001A3754" w:rsidRPr="00FB5832" w:rsidRDefault="00891C62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14:paraId="04C189E2" w14:textId="77777777" w:rsidR="001A3754" w:rsidRPr="00FB5832" w:rsidRDefault="001A3754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3879" w:type="dxa"/>
            <w:shd w:val="clear" w:color="auto" w:fill="808080"/>
          </w:tcPr>
          <w:p w14:paraId="0FD35F59" w14:textId="77777777" w:rsidR="001A3754" w:rsidRPr="00FB5832" w:rsidRDefault="001A3754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1A3754" w:rsidRPr="00FB5832" w14:paraId="3AEC6013" w14:textId="77777777">
        <w:tc>
          <w:tcPr>
            <w:tcW w:w="1368" w:type="dxa"/>
          </w:tcPr>
          <w:p w14:paraId="2C493049" w14:textId="77777777" w:rsidR="001A3754" w:rsidRPr="00FB5832" w:rsidRDefault="00B66873" w:rsidP="005937B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0"/>
                <w:attr w:name="Day" w:val="1"/>
                <w:attr w:name="Year" w:val="2007"/>
              </w:smartTagPr>
              <w:r>
                <w:rPr>
                  <w:rFonts w:ascii="Arial" w:hAnsi="Arial" w:cs="Arial"/>
                  <w:sz w:val="20"/>
                  <w:szCs w:val="20"/>
                </w:rPr>
                <w:t>10/01/2007</w:t>
              </w:r>
            </w:smartTag>
          </w:p>
        </w:tc>
        <w:tc>
          <w:tcPr>
            <w:tcW w:w="981" w:type="dxa"/>
          </w:tcPr>
          <w:p w14:paraId="0ECE3438" w14:textId="77777777" w:rsidR="001A3754" w:rsidRPr="00FB5832" w:rsidRDefault="001A3754" w:rsidP="005937BD">
            <w:pPr>
              <w:rPr>
                <w:rFonts w:ascii="Arial" w:hAnsi="Arial" w:cs="Arial"/>
                <w:sz w:val="20"/>
                <w:szCs w:val="20"/>
              </w:rPr>
            </w:pPr>
            <w:r w:rsidRPr="00FB58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9" w:type="dxa"/>
          </w:tcPr>
          <w:p w14:paraId="17B5F7B4" w14:textId="77777777" w:rsidR="001A3754" w:rsidRPr="00FB5832" w:rsidRDefault="00326EE1" w:rsidP="00593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180FBF" w:rsidRPr="00FB5832" w14:paraId="0CCC0C12" w14:textId="77777777">
        <w:tc>
          <w:tcPr>
            <w:tcW w:w="1368" w:type="dxa"/>
          </w:tcPr>
          <w:p w14:paraId="192E8EC6" w14:textId="77777777" w:rsidR="00180FBF" w:rsidRDefault="00180FBF" w:rsidP="00593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3/27/2017</w:t>
            </w:r>
          </w:p>
        </w:tc>
        <w:tc>
          <w:tcPr>
            <w:tcW w:w="981" w:type="dxa"/>
          </w:tcPr>
          <w:p w14:paraId="2A27FB8D" w14:textId="77777777" w:rsidR="00180FBF" w:rsidRPr="00FB5832" w:rsidRDefault="00180FBF" w:rsidP="00593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9" w:type="dxa"/>
          </w:tcPr>
          <w:p w14:paraId="5AEA1DD9" w14:textId="77777777" w:rsidR="00180FBF" w:rsidRDefault="00180FBF" w:rsidP="00593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and re-ordered Supporting Calculations:</w:t>
            </w:r>
          </w:p>
          <w:p w14:paraId="6287EE90" w14:textId="77777777" w:rsidR="00180FBF" w:rsidRDefault="00180FBF" w:rsidP="00593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Previously</w:t>
            </w:r>
          </w:p>
          <w:p w14:paraId="13D7F743" w14:textId="77777777" w:rsidR="00EE4043" w:rsidRDefault="00EE4043" w:rsidP="00EE404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32E20">
              <w:rPr>
                <w:rFonts w:ascii="Arial" w:hAnsi="Arial" w:cs="Arial"/>
                <w:b/>
                <w:sz w:val="20"/>
                <w:szCs w:val="20"/>
              </w:rPr>
              <w:t>Synchronous Condensing Lost Opportunity Cost Credit (2377.19)</w:t>
            </w:r>
            <w:r w:rsidRPr="00EE4043">
              <w:rPr>
                <w:rFonts w:ascii="Arial" w:hAnsi="Arial" w:cs="Arial"/>
                <w:sz w:val="20"/>
                <w:szCs w:val="20"/>
              </w:rPr>
              <w:t xml:space="preserve"> = MAX( MAX( Economic Max (3000.98) - MAX(RT Generation MWh (3000.33), 0), 0)) * (MAX(RT Generator LMP (3000.25) - Offer at RT LMP Desired MWh (2377.16), 0)) - Synchronous Condensing Credit (2377.18), 0)</w:t>
            </w:r>
          </w:p>
          <w:p w14:paraId="5F357CDC" w14:textId="77777777" w:rsidR="00EE4043" w:rsidRDefault="00EE4043" w:rsidP="00EE404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32E20">
              <w:rPr>
                <w:rFonts w:ascii="Arial" w:hAnsi="Arial" w:cs="Arial"/>
                <w:b/>
                <w:sz w:val="20"/>
                <w:szCs w:val="20"/>
              </w:rPr>
              <w:t>Reactive Services Condensing Credit (2378.18)</w:t>
            </w:r>
            <w:r w:rsidRPr="00EE4043">
              <w:rPr>
                <w:rFonts w:ascii="Arial" w:hAnsi="Arial" w:cs="Arial"/>
                <w:sz w:val="20"/>
                <w:szCs w:val="20"/>
              </w:rPr>
              <w:t xml:space="preserve"> = MAX (Economic Max (3000.98) * SRMCP (3000.61) * Condensing Duration (2377.13)),  ((Condensing Duration (2377.13) * Energy Use (2377.15) * RT Generator LMP (3000.25)) + (Condensing Duration (2377.13) * Condensing Offer (2377.14)) +  Condensing Start Up Cost (2377.17))</w:t>
            </w:r>
          </w:p>
          <w:p w14:paraId="2203F49E" w14:textId="77777777" w:rsidR="00EE4043" w:rsidRDefault="00EE4043" w:rsidP="00EE404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32E20">
              <w:rPr>
                <w:rFonts w:ascii="Arial" w:hAnsi="Arial" w:cs="Arial"/>
                <w:b/>
                <w:sz w:val="20"/>
                <w:szCs w:val="20"/>
              </w:rPr>
              <w:t>Reactive Services Condensing Lost Opportunity Cost Credit (2378.19)</w:t>
            </w:r>
            <w:r w:rsidRPr="00EE4043">
              <w:rPr>
                <w:rFonts w:ascii="Arial" w:hAnsi="Arial" w:cs="Arial"/>
                <w:sz w:val="20"/>
                <w:szCs w:val="20"/>
              </w:rPr>
              <w:t xml:space="preserve"> = MAX( MAX( Economic Max (3000.98) - MAX(RT Generation (3000.33), 0), 0)) * (MAX(RT Generator LMP (3000.25) - Offer at RT LMP Desired MWh (2377.16), </w:t>
            </w:r>
            <w:r w:rsidRPr="00EE4043">
              <w:rPr>
                <w:rFonts w:ascii="Arial" w:hAnsi="Arial" w:cs="Arial"/>
                <w:sz w:val="20"/>
                <w:szCs w:val="20"/>
              </w:rPr>
              <w:lastRenderedPageBreak/>
              <w:t>0)) - Reactive Services Condensing Credit (2378.18), 0)</w:t>
            </w:r>
          </w:p>
        </w:tc>
      </w:tr>
      <w:tr w:rsidR="003D442C" w:rsidRPr="00FB5832" w14:paraId="312B2CFF" w14:textId="77777777">
        <w:tc>
          <w:tcPr>
            <w:tcW w:w="1368" w:type="dxa"/>
          </w:tcPr>
          <w:p w14:paraId="0AF7CAA3" w14:textId="77777777" w:rsidR="003D442C" w:rsidRDefault="00AC3918" w:rsidP="00593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7D7463">
              <w:rPr>
                <w:rFonts w:ascii="Arial" w:hAnsi="Arial" w:cs="Arial"/>
                <w:sz w:val="20"/>
                <w:szCs w:val="20"/>
              </w:rPr>
              <w:t>/1/2018</w:t>
            </w:r>
          </w:p>
        </w:tc>
        <w:tc>
          <w:tcPr>
            <w:tcW w:w="981" w:type="dxa"/>
          </w:tcPr>
          <w:p w14:paraId="5F257640" w14:textId="77777777" w:rsidR="003D442C" w:rsidRDefault="003D442C" w:rsidP="00593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79" w:type="dxa"/>
          </w:tcPr>
          <w:p w14:paraId="3B366771" w14:textId="77777777" w:rsidR="003D442C" w:rsidRDefault="003D442C" w:rsidP="008D6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  <w:r w:rsidR="008D615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EPT/GMT hour ending with </w:t>
            </w:r>
            <w:r w:rsidR="008D6151">
              <w:rPr>
                <w:rFonts w:ascii="Arial" w:hAnsi="Arial" w:cs="Arial"/>
                <w:sz w:val="20"/>
                <w:szCs w:val="20"/>
              </w:rPr>
              <w:t xml:space="preserve">EPT/GMT interval ending, Updated MWh units to MW where applicable; added calculations for 5 minute settlements </w:t>
            </w:r>
            <w:r w:rsidR="00785251">
              <w:rPr>
                <w:rFonts w:ascii="Arial" w:hAnsi="Arial" w:cs="Arial"/>
                <w:sz w:val="20"/>
                <w:szCs w:val="20"/>
              </w:rPr>
              <w:t>calculations</w:t>
            </w:r>
          </w:p>
        </w:tc>
      </w:tr>
      <w:tr w:rsidR="00174A8B" w:rsidRPr="00FB5832" w14:paraId="050376B6" w14:textId="77777777">
        <w:tc>
          <w:tcPr>
            <w:tcW w:w="1368" w:type="dxa"/>
          </w:tcPr>
          <w:p w14:paraId="2A75D9DB" w14:textId="2170E025" w:rsidR="00174A8B" w:rsidRPr="00C34D75" w:rsidRDefault="00174A8B" w:rsidP="00174A8B">
            <w:pPr>
              <w:rPr>
                <w:rFonts w:ascii="Arial" w:hAnsi="Arial" w:cs="Arial"/>
                <w:sz w:val="20"/>
                <w:szCs w:val="20"/>
              </w:rPr>
            </w:pPr>
            <w:r w:rsidRPr="00C34D75">
              <w:rPr>
                <w:rFonts w:ascii="Arial" w:hAnsi="Arial" w:cs="Arial"/>
                <w:sz w:val="20"/>
              </w:rPr>
              <w:t>8/6/2024</w:t>
            </w:r>
          </w:p>
        </w:tc>
        <w:tc>
          <w:tcPr>
            <w:tcW w:w="981" w:type="dxa"/>
          </w:tcPr>
          <w:p w14:paraId="06335E4F" w14:textId="04483645" w:rsidR="00174A8B" w:rsidRPr="00C34D75" w:rsidRDefault="00174A8B" w:rsidP="00174A8B">
            <w:pPr>
              <w:rPr>
                <w:rFonts w:ascii="Arial" w:hAnsi="Arial" w:cs="Arial"/>
                <w:sz w:val="20"/>
                <w:szCs w:val="20"/>
              </w:rPr>
            </w:pPr>
            <w:r w:rsidRPr="00C34D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79" w:type="dxa"/>
          </w:tcPr>
          <w:p w14:paraId="7BB5B591" w14:textId="64CAE5E9" w:rsidR="00174A8B" w:rsidRPr="00C34D75" w:rsidRDefault="00174A8B" w:rsidP="00174A8B">
            <w:pPr>
              <w:rPr>
                <w:rFonts w:ascii="Arial" w:hAnsi="Arial" w:cs="Arial"/>
                <w:sz w:val="20"/>
                <w:szCs w:val="20"/>
              </w:rPr>
            </w:pPr>
            <w:r w:rsidRPr="00C34D75">
              <w:rPr>
                <w:rFonts w:ascii="Arial" w:hAnsi="Arial" w:cs="Arial"/>
                <w:sz w:val="20"/>
              </w:rPr>
              <w:t>Updated calculation details for Synchronous Condensing Credit to</w:t>
            </w:r>
            <w:r w:rsidR="009F66EC">
              <w:rPr>
                <w:rFonts w:ascii="Arial" w:hAnsi="Arial" w:cs="Arial"/>
                <w:sz w:val="20"/>
              </w:rPr>
              <w:t xml:space="preserve"> reflect calculation effective 8</w:t>
            </w:r>
            <w:r w:rsidRPr="00C34D75">
              <w:rPr>
                <w:rFonts w:ascii="Arial" w:hAnsi="Arial" w:cs="Arial"/>
                <w:sz w:val="20"/>
              </w:rPr>
              <w:t xml:space="preserve">/6/2024 per Docket No. ER24-2203 </w:t>
            </w:r>
          </w:p>
        </w:tc>
      </w:tr>
    </w:tbl>
    <w:p w14:paraId="606A0F65" w14:textId="77777777" w:rsidR="007348CC" w:rsidRDefault="007348CC"/>
    <w:p w14:paraId="5FDD90F2" w14:textId="77777777" w:rsidR="007348CC" w:rsidRDefault="007348CC">
      <w:r>
        <w:br w:type="page"/>
      </w:r>
    </w:p>
    <w:p w14:paraId="520E8C66" w14:textId="77777777" w:rsidR="002738AE" w:rsidRPr="00FB5832" w:rsidRDefault="00653E22" w:rsidP="002738AE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14:paraId="132D01E5" w14:textId="77777777" w:rsidR="00FD1778" w:rsidRDefault="00FD1778" w:rsidP="002738AE">
      <w:pPr>
        <w:rPr>
          <w:rFonts w:ascii="Arial" w:hAnsi="Arial" w:cs="Arial"/>
          <w:b/>
          <w:sz w:val="20"/>
        </w:rPr>
      </w:pPr>
    </w:p>
    <w:p w14:paraId="40AE63B1" w14:textId="77777777" w:rsidR="00891C62" w:rsidRDefault="00891C62" w:rsidP="00891C62">
      <w:pPr>
        <w:rPr>
          <w:rFonts w:ascii="Arial" w:hAnsi="Arial" w:cs="Arial"/>
          <w:b/>
          <w:sz w:val="20"/>
        </w:rPr>
      </w:pPr>
    </w:p>
    <w:p w14:paraId="7D334B4C" w14:textId="77777777" w:rsidR="009B2EF3" w:rsidRPr="009B2EF3" w:rsidRDefault="00891C62" w:rsidP="009B2EF3">
      <w:pPr>
        <w:ind w:left="432"/>
        <w:rPr>
          <w:rFonts w:ascii="Arial" w:hAnsi="Arial" w:cs="Arial"/>
          <w:sz w:val="20"/>
        </w:rPr>
      </w:pPr>
      <w:r w:rsidRPr="00502FFF">
        <w:rPr>
          <w:rFonts w:ascii="Arial" w:hAnsi="Arial" w:cs="Arial"/>
          <w:sz w:val="20"/>
        </w:rPr>
        <w:t>MSRS</w:t>
      </w:r>
      <w:r w:rsidRPr="00FB5832">
        <w:rPr>
          <w:rFonts w:ascii="Arial" w:hAnsi="Arial" w:cs="Arial"/>
          <w:sz w:val="20"/>
        </w:rPr>
        <w:t xml:space="preserve"> Report Name: </w:t>
      </w:r>
      <w:r w:rsidR="009B2EF3" w:rsidRPr="009B2EF3">
        <w:rPr>
          <w:rFonts w:ascii="Arial" w:hAnsi="Arial" w:cs="Arial"/>
          <w:sz w:val="20"/>
        </w:rPr>
        <w:t>Synchronous Condensing Credits</w:t>
      </w:r>
    </w:p>
    <w:p w14:paraId="33DCA62F" w14:textId="77777777" w:rsidR="00891C62" w:rsidRDefault="00891C62" w:rsidP="00D32E20">
      <w:pPr>
        <w:rPr>
          <w:rFonts w:ascii="Arial" w:hAnsi="Arial" w:cs="Arial"/>
          <w:sz w:val="20"/>
        </w:rPr>
      </w:pPr>
    </w:p>
    <w:p w14:paraId="32E0316A" w14:textId="77777777" w:rsidR="00891C62" w:rsidRPr="00844B59" w:rsidRDefault="00891C62" w:rsidP="009B2EF3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short name for User Interface: </w:t>
      </w:r>
      <w:r w:rsidR="009B2EF3" w:rsidRPr="009B2EF3">
        <w:rPr>
          <w:rFonts w:ascii="Arial" w:hAnsi="Arial" w:cs="Arial"/>
          <w:sz w:val="20"/>
        </w:rPr>
        <w:t>Synchronous Condensing Credits</w:t>
      </w:r>
    </w:p>
    <w:p w14:paraId="5DD48F44" w14:textId="77777777" w:rsidR="00891C62" w:rsidRDefault="00891C62" w:rsidP="00891C62">
      <w:pPr>
        <w:ind w:left="432"/>
        <w:rPr>
          <w:rFonts w:ascii="Arial" w:hAnsi="Arial" w:cs="Arial"/>
          <w:sz w:val="20"/>
        </w:rPr>
      </w:pPr>
    </w:p>
    <w:p w14:paraId="3E8902CA" w14:textId="77777777" w:rsidR="00891C62" w:rsidRPr="009B2EF3" w:rsidRDefault="00891C62" w:rsidP="00891C62">
      <w:pPr>
        <w:ind w:left="432"/>
        <w:rPr>
          <w:rFonts w:ascii="Arial" w:hAnsi="Arial" w:cs="Arial"/>
          <w:sz w:val="20"/>
        </w:rPr>
      </w:pPr>
      <w:r w:rsidRPr="009B2EF3">
        <w:rPr>
          <w:rFonts w:ascii="Arial" w:hAnsi="Arial" w:cs="Arial"/>
          <w:sz w:val="20"/>
        </w:rPr>
        <w:t xml:space="preserve">Download File Name Abbreviation: </w:t>
      </w:r>
      <w:proofErr w:type="spellStart"/>
      <w:r w:rsidR="0024433F">
        <w:rPr>
          <w:rFonts w:ascii="Arial" w:hAnsi="Arial" w:cs="Arial"/>
          <w:sz w:val="20"/>
        </w:rPr>
        <w:t>SCCr</w:t>
      </w:r>
      <w:proofErr w:type="spellEnd"/>
    </w:p>
    <w:p w14:paraId="293CC61E" w14:textId="77777777" w:rsidR="00891C62" w:rsidRPr="009B2EF3" w:rsidRDefault="00891C62" w:rsidP="00891C62">
      <w:pPr>
        <w:ind w:left="432"/>
        <w:rPr>
          <w:rFonts w:ascii="Arial" w:hAnsi="Arial" w:cs="Arial"/>
          <w:sz w:val="20"/>
        </w:rPr>
      </w:pPr>
    </w:p>
    <w:p w14:paraId="1B89325C" w14:textId="77777777" w:rsidR="00891C62" w:rsidRPr="009B2EF3" w:rsidRDefault="00891C62" w:rsidP="00891C62">
      <w:pPr>
        <w:ind w:left="432"/>
        <w:rPr>
          <w:rFonts w:ascii="Arial" w:hAnsi="Arial" w:cs="Arial"/>
          <w:sz w:val="20"/>
        </w:rPr>
      </w:pPr>
      <w:r w:rsidRPr="009B2EF3">
        <w:rPr>
          <w:rFonts w:ascii="Arial" w:hAnsi="Arial" w:cs="Arial"/>
          <w:sz w:val="20"/>
        </w:rPr>
        <w:t xml:space="preserve">Data Granularity: </w:t>
      </w:r>
      <w:r w:rsidR="00810B99" w:rsidRPr="009B2EF3">
        <w:rPr>
          <w:rFonts w:ascii="Arial" w:hAnsi="Arial" w:cs="Arial"/>
          <w:sz w:val="20"/>
        </w:rPr>
        <w:t xml:space="preserve"> </w:t>
      </w:r>
      <w:r w:rsidR="008D6151">
        <w:rPr>
          <w:rFonts w:ascii="Arial" w:hAnsi="Arial" w:cs="Arial"/>
          <w:sz w:val="20"/>
        </w:rPr>
        <w:t>Sub-hourly</w:t>
      </w:r>
    </w:p>
    <w:p w14:paraId="795DB581" w14:textId="77777777" w:rsidR="00891C62" w:rsidRPr="009B2EF3" w:rsidRDefault="00891C62" w:rsidP="00891C62">
      <w:pPr>
        <w:ind w:left="432"/>
        <w:rPr>
          <w:rFonts w:ascii="Arial" w:hAnsi="Arial" w:cs="Arial"/>
          <w:sz w:val="20"/>
        </w:rPr>
      </w:pPr>
    </w:p>
    <w:p w14:paraId="1B091E03" w14:textId="77777777" w:rsidR="00891C62" w:rsidRPr="009B2EF3" w:rsidRDefault="00891C62" w:rsidP="00891C62">
      <w:pPr>
        <w:ind w:left="432"/>
        <w:rPr>
          <w:rFonts w:ascii="Arial" w:hAnsi="Arial" w:cs="Arial"/>
          <w:sz w:val="20"/>
        </w:rPr>
      </w:pPr>
      <w:r w:rsidRPr="009B2EF3">
        <w:rPr>
          <w:rFonts w:ascii="Arial" w:hAnsi="Arial" w:cs="Arial"/>
          <w:sz w:val="20"/>
        </w:rPr>
        <w:t xml:space="preserve">Frequency: </w:t>
      </w:r>
      <w:r w:rsidR="00810B99" w:rsidRPr="009B2EF3">
        <w:rPr>
          <w:rFonts w:ascii="Arial" w:hAnsi="Arial" w:cs="Arial"/>
          <w:sz w:val="20"/>
        </w:rPr>
        <w:t xml:space="preserve">Updated </w:t>
      </w:r>
      <w:r w:rsidR="009B2EF3" w:rsidRPr="009B2EF3">
        <w:rPr>
          <w:rFonts w:ascii="Arial" w:hAnsi="Arial" w:cs="Arial"/>
          <w:sz w:val="20"/>
        </w:rPr>
        <w:t>daily</w:t>
      </w:r>
    </w:p>
    <w:p w14:paraId="47D10E37" w14:textId="77777777" w:rsidR="00891C62" w:rsidRPr="009B2EF3" w:rsidRDefault="00891C62" w:rsidP="00891C62">
      <w:pPr>
        <w:ind w:left="432"/>
        <w:rPr>
          <w:rFonts w:ascii="Arial" w:hAnsi="Arial" w:cs="Arial"/>
          <w:sz w:val="20"/>
        </w:rPr>
      </w:pPr>
    </w:p>
    <w:p w14:paraId="3A1B2581" w14:textId="77777777" w:rsidR="00891C62" w:rsidRDefault="00810B99" w:rsidP="00891C62">
      <w:pPr>
        <w:ind w:left="432"/>
        <w:rPr>
          <w:rFonts w:ascii="Arial" w:hAnsi="Arial" w:cs="Arial"/>
          <w:sz w:val="20"/>
        </w:rPr>
      </w:pPr>
      <w:r w:rsidRPr="009B2EF3">
        <w:rPr>
          <w:rFonts w:ascii="Arial" w:hAnsi="Arial" w:cs="Arial"/>
          <w:sz w:val="20"/>
        </w:rPr>
        <w:t xml:space="preserve">Range Displayed on Report:  Start </w:t>
      </w:r>
      <w:r w:rsidR="009B2EF3" w:rsidRPr="009B2EF3">
        <w:rPr>
          <w:rFonts w:ascii="Arial" w:hAnsi="Arial" w:cs="Arial"/>
          <w:sz w:val="20"/>
        </w:rPr>
        <w:t>Date through End Date</w:t>
      </w:r>
    </w:p>
    <w:p w14:paraId="3E7A9151" w14:textId="77777777" w:rsidR="00891C62" w:rsidRPr="00FB5832" w:rsidRDefault="00891C62" w:rsidP="00891C62">
      <w:pPr>
        <w:rPr>
          <w:rFonts w:ascii="Arial" w:hAnsi="Arial" w:cs="Arial"/>
        </w:rPr>
      </w:pPr>
    </w:p>
    <w:p w14:paraId="7F25A6E4" w14:textId="77777777" w:rsidR="00891C62" w:rsidRDefault="00891C62" w:rsidP="00891C62">
      <w:pPr>
        <w:pStyle w:val="Heading1"/>
      </w:pPr>
      <w:r>
        <w:t>Supported Billing Line Items</w:t>
      </w:r>
    </w:p>
    <w:p w14:paraId="62806A31" w14:textId="77777777" w:rsidR="00891C62" w:rsidRDefault="00B66873" w:rsidP="006422A7">
      <w:pPr>
        <w:pStyle w:val="BulletList"/>
      </w:pPr>
      <w:r w:rsidRPr="00B66873">
        <w:t>Synchronous Condensing</w:t>
      </w:r>
      <w:r>
        <w:t xml:space="preserve"> Credit (2377)</w:t>
      </w:r>
    </w:p>
    <w:p w14:paraId="7376D342" w14:textId="77777777" w:rsidR="00B66873" w:rsidRDefault="00B66873" w:rsidP="006422A7">
      <w:pPr>
        <w:pStyle w:val="BulletList"/>
      </w:pPr>
      <w:r>
        <w:t>Reactive Services Credit (2378)</w:t>
      </w:r>
    </w:p>
    <w:p w14:paraId="309375AD" w14:textId="77777777" w:rsidR="006C5D1C" w:rsidRDefault="006C5D1C" w:rsidP="006C5D1C">
      <w:pPr>
        <w:pStyle w:val="Heading1"/>
      </w:pPr>
      <w:r>
        <w:t>Report Content Summary</w:t>
      </w:r>
    </w:p>
    <w:p w14:paraId="24163A80" w14:textId="77777777" w:rsidR="00F503F4" w:rsidRDefault="008D1AFD" w:rsidP="00F503F4">
      <w:pPr>
        <w:ind w:left="432"/>
        <w:rPr>
          <w:rFonts w:ascii="Arial" w:hAnsi="Arial" w:cs="Arial"/>
          <w:sz w:val="20"/>
        </w:rPr>
      </w:pPr>
      <w:r w:rsidRPr="008D1AFD">
        <w:rPr>
          <w:rFonts w:ascii="Arial" w:hAnsi="Arial" w:cs="Arial"/>
          <w:sz w:val="20"/>
        </w:rPr>
        <w:t>This report displays the customer account</w:t>
      </w:r>
      <w:r w:rsidR="007D38FD">
        <w:rPr>
          <w:rFonts w:ascii="Arial" w:hAnsi="Arial" w:cs="Arial"/>
          <w:sz w:val="20"/>
        </w:rPr>
        <w:t>’</w:t>
      </w:r>
      <w:r w:rsidRPr="008D1AFD">
        <w:rPr>
          <w:rFonts w:ascii="Arial" w:hAnsi="Arial" w:cs="Arial"/>
          <w:sz w:val="20"/>
        </w:rPr>
        <w:t xml:space="preserve">s </w:t>
      </w:r>
      <w:r w:rsidR="008D6151">
        <w:rPr>
          <w:rFonts w:ascii="Arial" w:hAnsi="Arial" w:cs="Arial"/>
          <w:sz w:val="20"/>
        </w:rPr>
        <w:t>sub-hourly</w:t>
      </w:r>
      <w:r w:rsidR="00F4678B" w:rsidRPr="008D1AFD">
        <w:rPr>
          <w:rFonts w:ascii="Arial" w:hAnsi="Arial" w:cs="Arial"/>
          <w:sz w:val="20"/>
        </w:rPr>
        <w:t xml:space="preserve"> Synchronous Condensing Credits and Reactive Condensing Credits</w:t>
      </w:r>
      <w:r w:rsidRPr="008D1AFD">
        <w:rPr>
          <w:rFonts w:ascii="Arial" w:hAnsi="Arial" w:cs="Arial"/>
          <w:sz w:val="20"/>
        </w:rPr>
        <w:t xml:space="preserve"> where their synchronous condensing credit for the </w:t>
      </w:r>
      <w:r w:rsidR="008D6151">
        <w:rPr>
          <w:rFonts w:ascii="Arial" w:hAnsi="Arial" w:cs="Arial"/>
          <w:sz w:val="20"/>
        </w:rPr>
        <w:t>interval</w:t>
      </w:r>
      <w:r w:rsidRPr="008D1AFD">
        <w:rPr>
          <w:rFonts w:ascii="Arial" w:hAnsi="Arial" w:cs="Arial"/>
          <w:sz w:val="20"/>
        </w:rPr>
        <w:t xml:space="preserve"> is not null or where their reactive services condensing credit for the </w:t>
      </w:r>
      <w:r w:rsidR="008D6151">
        <w:rPr>
          <w:rFonts w:ascii="Arial" w:hAnsi="Arial" w:cs="Arial"/>
          <w:sz w:val="20"/>
        </w:rPr>
        <w:t>interval</w:t>
      </w:r>
      <w:r w:rsidRPr="008D1AFD">
        <w:rPr>
          <w:rFonts w:ascii="Arial" w:hAnsi="Arial" w:cs="Arial"/>
          <w:sz w:val="20"/>
        </w:rPr>
        <w:t xml:space="preserve"> is not null. </w:t>
      </w:r>
    </w:p>
    <w:p w14:paraId="03CF1360" w14:textId="77777777" w:rsidR="00F503F4" w:rsidRDefault="00F503F4" w:rsidP="00F503F4">
      <w:pPr>
        <w:ind w:left="432"/>
        <w:rPr>
          <w:rFonts w:ascii="Arial" w:hAnsi="Arial" w:cs="Arial"/>
          <w:sz w:val="20"/>
        </w:rPr>
      </w:pPr>
    </w:p>
    <w:p w14:paraId="3A26F94E" w14:textId="77777777" w:rsidR="00F503F4" w:rsidRPr="003C54A3" w:rsidRDefault="00F503F4" w:rsidP="00F503F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credits</w:t>
      </w:r>
      <w:r w:rsidRPr="003C54A3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this </w:t>
      </w:r>
      <w:r w:rsidRPr="003C54A3">
        <w:rPr>
          <w:rFonts w:ascii="Arial" w:hAnsi="Arial" w:cs="Arial"/>
          <w:sz w:val="20"/>
          <w:szCs w:val="20"/>
        </w:rPr>
        <w:t xml:space="preserve">report do not reflect </w:t>
      </w:r>
      <w:r>
        <w:rPr>
          <w:rFonts w:ascii="Arial" w:hAnsi="Arial" w:cs="Arial"/>
          <w:sz w:val="20"/>
          <w:szCs w:val="20"/>
        </w:rPr>
        <w:t xml:space="preserve">the customer account’s </w:t>
      </w:r>
      <w:r w:rsidRPr="003C54A3">
        <w:rPr>
          <w:rFonts w:ascii="Arial" w:hAnsi="Arial" w:cs="Arial"/>
          <w:sz w:val="20"/>
          <w:szCs w:val="20"/>
        </w:rPr>
        <w:t>share of joint</w:t>
      </w:r>
      <w:r>
        <w:rPr>
          <w:rFonts w:ascii="Arial" w:hAnsi="Arial" w:cs="Arial"/>
          <w:sz w:val="20"/>
          <w:szCs w:val="20"/>
        </w:rPr>
        <w:t>ly</w:t>
      </w:r>
      <w:r w:rsidRPr="003C54A3">
        <w:rPr>
          <w:rFonts w:ascii="Arial" w:hAnsi="Arial" w:cs="Arial"/>
          <w:sz w:val="20"/>
          <w:szCs w:val="20"/>
        </w:rPr>
        <w:t xml:space="preserve"> owne</w:t>
      </w:r>
      <w:r>
        <w:rPr>
          <w:rFonts w:ascii="Arial" w:hAnsi="Arial" w:cs="Arial"/>
          <w:sz w:val="20"/>
          <w:szCs w:val="20"/>
        </w:rPr>
        <w:t>d units</w:t>
      </w:r>
      <w:r w:rsidRPr="003C54A3">
        <w:rPr>
          <w:rFonts w:ascii="Arial" w:hAnsi="Arial" w:cs="Arial"/>
          <w:sz w:val="20"/>
          <w:szCs w:val="20"/>
        </w:rPr>
        <w:t xml:space="preserve">. All owners will see </w:t>
      </w:r>
      <w:r>
        <w:rPr>
          <w:rFonts w:ascii="Arial" w:hAnsi="Arial" w:cs="Arial"/>
          <w:sz w:val="20"/>
          <w:szCs w:val="20"/>
        </w:rPr>
        <w:t>the full credit assigned to the unit.</w:t>
      </w:r>
    </w:p>
    <w:p w14:paraId="0436FE5B" w14:textId="77777777" w:rsidR="008D1AFD" w:rsidRPr="008D1AFD" w:rsidRDefault="008D1AFD" w:rsidP="008D1AFD">
      <w:pPr>
        <w:ind w:left="432"/>
        <w:rPr>
          <w:rFonts w:ascii="Arial" w:hAnsi="Arial" w:cs="Arial"/>
          <w:sz w:val="20"/>
        </w:rPr>
      </w:pPr>
    </w:p>
    <w:p w14:paraId="4CC89471" w14:textId="77777777" w:rsidR="00F4678B" w:rsidRPr="008D1AFD" w:rsidRDefault="00F4678B" w:rsidP="00F4678B">
      <w:pPr>
        <w:rPr>
          <w:rFonts w:ascii="Arial" w:hAnsi="Arial" w:cs="Arial"/>
          <w:sz w:val="20"/>
          <w:szCs w:val="20"/>
        </w:rPr>
      </w:pPr>
    </w:p>
    <w:p w14:paraId="45F39369" w14:textId="77777777" w:rsidR="00F4678B" w:rsidRPr="00F4678B" w:rsidRDefault="00F4678B" w:rsidP="006C5D1C">
      <w:pPr>
        <w:rPr>
          <w:sz w:val="20"/>
          <w:szCs w:val="20"/>
        </w:rPr>
      </w:pPr>
    </w:p>
    <w:p w14:paraId="2C6AED40" w14:textId="77777777" w:rsidR="00F4678B" w:rsidRPr="006C1091" w:rsidRDefault="00F4678B" w:rsidP="006C5D1C">
      <w:pPr>
        <w:rPr>
          <w:sz w:val="20"/>
          <w:szCs w:val="20"/>
        </w:rPr>
      </w:pPr>
    </w:p>
    <w:p w14:paraId="1D1C7C61" w14:textId="77777777" w:rsidR="00891C62" w:rsidRPr="00FB5832" w:rsidRDefault="00891C62" w:rsidP="00891C62">
      <w:pPr>
        <w:pStyle w:val="Heading1"/>
      </w:pPr>
      <w:r w:rsidRPr="00FB5832">
        <w:lastRenderedPageBreak/>
        <w:t>Summary of Changes</w:t>
      </w:r>
      <w:r>
        <w:t xml:space="preserve"> and Special Logic</w:t>
      </w:r>
    </w:p>
    <w:p w14:paraId="68DC5DB1" w14:textId="77777777" w:rsidR="00DF3618" w:rsidRDefault="00DF3618" w:rsidP="006422A7">
      <w:pPr>
        <w:pStyle w:val="BulletList"/>
      </w:pPr>
      <w:r w:rsidRPr="008D1AFD">
        <w:t>The date range total row will only appear in the online version of the report.  It will not appear in the CSV and XML versions of the report.</w:t>
      </w:r>
    </w:p>
    <w:p w14:paraId="690341F0" w14:textId="77777777" w:rsidR="006422A7" w:rsidRPr="008D1AFD" w:rsidRDefault="006422A7" w:rsidP="006422A7">
      <w:pPr>
        <w:pStyle w:val="BulletList"/>
      </w:pPr>
      <w:r>
        <w:t xml:space="preserve">The Condensing Duration column will be populated with a value between 0 and 1 and will represent the </w:t>
      </w:r>
      <w:r w:rsidR="00406DCA">
        <w:t>fraction</w:t>
      </w:r>
      <w:r>
        <w:t xml:space="preserve"> of the </w:t>
      </w:r>
      <w:r w:rsidR="00406DCA">
        <w:t>5 Minute Interval</w:t>
      </w:r>
      <w:r>
        <w:t xml:space="preserve"> in which the unit was condensing.</w:t>
      </w:r>
    </w:p>
    <w:p w14:paraId="3D0590F2" w14:textId="77777777" w:rsidR="00A00188" w:rsidRDefault="00A00188" w:rsidP="00A00188">
      <w:pPr>
        <w:pStyle w:val="Heading1"/>
      </w:pPr>
      <w:r>
        <w:t>Report Columns</w:t>
      </w:r>
    </w:p>
    <w:p w14:paraId="199657F4" w14:textId="77777777" w:rsidR="00A00188" w:rsidRDefault="00A00188" w:rsidP="00A00188"/>
    <w:p w14:paraId="37B8DC6B" w14:textId="77777777" w:rsidR="00891C62" w:rsidRPr="00DC71B5" w:rsidRDefault="00891C62" w:rsidP="00891C62">
      <w:pPr>
        <w:ind w:left="432"/>
        <w:rPr>
          <w:rFonts w:ascii="Arial" w:hAnsi="Arial"/>
          <w:sz w:val="20"/>
          <w:szCs w:val="20"/>
        </w:rPr>
      </w:pPr>
      <w:r w:rsidRPr="00DC71B5">
        <w:rPr>
          <w:rFonts w:ascii="Arial" w:hAnsi="Arial"/>
          <w:sz w:val="20"/>
          <w:szCs w:val="20"/>
        </w:rPr>
        <w:t>The following columns will appear in the body of the report:</w:t>
      </w:r>
    </w:p>
    <w:p w14:paraId="49ECD83A" w14:textId="77777777" w:rsidR="00891C62" w:rsidRPr="00A00188" w:rsidRDefault="00891C62" w:rsidP="00891C62"/>
    <w:tbl>
      <w:tblPr>
        <w:tblW w:w="126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320"/>
        <w:gridCol w:w="1080"/>
        <w:gridCol w:w="3420"/>
      </w:tblGrid>
      <w:tr w:rsidR="00891C62" w:rsidRPr="00277D1E" w14:paraId="55D42C9D" w14:textId="77777777" w:rsidTr="00277D1E">
        <w:tc>
          <w:tcPr>
            <w:tcW w:w="3780" w:type="dxa"/>
            <w:shd w:val="clear" w:color="auto" w:fill="auto"/>
          </w:tcPr>
          <w:p w14:paraId="1E2FFD5E" w14:textId="77777777" w:rsidR="00891C62" w:rsidRPr="00277D1E" w:rsidRDefault="00891C62" w:rsidP="00891C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D1E"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320" w:type="dxa"/>
            <w:shd w:val="clear" w:color="auto" w:fill="auto"/>
          </w:tcPr>
          <w:p w14:paraId="3217BFE3" w14:textId="77777777" w:rsidR="00891C62" w:rsidRPr="00277D1E" w:rsidRDefault="00891C62" w:rsidP="00891C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D1E"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080" w:type="dxa"/>
            <w:shd w:val="clear" w:color="auto" w:fill="auto"/>
          </w:tcPr>
          <w:p w14:paraId="54293EE8" w14:textId="77777777" w:rsidR="00891C62" w:rsidRPr="00277D1E" w:rsidRDefault="00891C62" w:rsidP="00891C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D1E"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3420" w:type="dxa"/>
            <w:shd w:val="clear" w:color="auto" w:fill="auto"/>
          </w:tcPr>
          <w:p w14:paraId="4D5F2325" w14:textId="77777777" w:rsidR="00891C62" w:rsidRPr="00277D1E" w:rsidRDefault="00891C62" w:rsidP="00891C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D1E"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8D1AFD" w:rsidRPr="00277D1E" w14:paraId="4597ECF3" w14:textId="77777777" w:rsidTr="00277D1E">
        <w:tc>
          <w:tcPr>
            <w:tcW w:w="3780" w:type="dxa"/>
            <w:shd w:val="clear" w:color="auto" w:fill="auto"/>
          </w:tcPr>
          <w:p w14:paraId="47C06BA3" w14:textId="77777777" w:rsidR="008D1AFD" w:rsidRPr="00277D1E" w:rsidRDefault="008D1AFD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Customer ID</w:t>
            </w:r>
          </w:p>
          <w:p w14:paraId="3BEE1592" w14:textId="77777777" w:rsidR="008D1AFD" w:rsidRPr="00277D1E" w:rsidRDefault="008D1AFD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7BE5536" w14:textId="77777777" w:rsidR="008D1AFD" w:rsidRPr="00277D1E" w:rsidRDefault="008D1AFD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080" w:type="dxa"/>
            <w:shd w:val="clear" w:color="auto" w:fill="auto"/>
          </w:tcPr>
          <w:p w14:paraId="1BD7C3EC" w14:textId="77777777" w:rsidR="008D1AFD" w:rsidRPr="00277D1E" w:rsidRDefault="008D1AFD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3420" w:type="dxa"/>
            <w:shd w:val="clear" w:color="auto" w:fill="auto"/>
          </w:tcPr>
          <w:p w14:paraId="3F83FD44" w14:textId="77777777" w:rsidR="008D1AFD" w:rsidRPr="00277D1E" w:rsidRDefault="008D1AFD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8D1AFD" w:rsidRPr="00277D1E" w14:paraId="6CEC036E" w14:textId="77777777" w:rsidTr="00277D1E">
        <w:tc>
          <w:tcPr>
            <w:tcW w:w="3780" w:type="dxa"/>
            <w:shd w:val="clear" w:color="auto" w:fill="auto"/>
          </w:tcPr>
          <w:p w14:paraId="7069F88C" w14:textId="77777777" w:rsidR="008D1AFD" w:rsidRPr="00277D1E" w:rsidRDefault="008D1AFD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Customer Code</w:t>
            </w:r>
          </w:p>
          <w:p w14:paraId="2C70FDA2" w14:textId="77777777" w:rsidR="008D1AFD" w:rsidRPr="00277D1E" w:rsidRDefault="008D1AFD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5BF038D" w14:textId="77777777" w:rsidR="008D1AFD" w:rsidRPr="00277D1E" w:rsidRDefault="008D1AFD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080" w:type="dxa"/>
            <w:shd w:val="clear" w:color="auto" w:fill="auto"/>
          </w:tcPr>
          <w:p w14:paraId="0BF7E795" w14:textId="77777777" w:rsidR="008D1AFD" w:rsidRPr="00277D1E" w:rsidRDefault="008D1AFD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3420" w:type="dxa"/>
            <w:shd w:val="clear" w:color="auto" w:fill="auto"/>
          </w:tcPr>
          <w:p w14:paraId="407BEAD0" w14:textId="77777777" w:rsidR="008D1AFD" w:rsidRPr="00277D1E" w:rsidRDefault="008D1AFD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1D783E" w:rsidRPr="00277D1E" w14:paraId="10628113" w14:textId="77777777" w:rsidTr="00277D1E">
        <w:trPr>
          <w:trHeight w:val="332"/>
        </w:trPr>
        <w:tc>
          <w:tcPr>
            <w:tcW w:w="3780" w:type="dxa"/>
            <w:shd w:val="clear" w:color="auto" w:fill="auto"/>
          </w:tcPr>
          <w:p w14:paraId="354C72F2" w14:textId="77777777" w:rsidR="001D783E" w:rsidRPr="00277D1E" w:rsidRDefault="003D442C" w:rsidP="008D1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 Interval</w:t>
            </w:r>
            <w:r w:rsidR="001D783E" w:rsidRPr="00277D1E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50E27B9D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BAD1DBD" w14:textId="77777777" w:rsidR="001D783E" w:rsidRPr="00277D1E" w:rsidRDefault="003A7C07" w:rsidP="003D442C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EPT_</w:t>
            </w:r>
            <w:r w:rsidR="003D442C">
              <w:rPr>
                <w:rFonts w:ascii="Arial" w:hAnsi="Arial" w:cs="Arial"/>
                <w:sz w:val="20"/>
                <w:szCs w:val="20"/>
              </w:rPr>
              <w:t>INTERVAL</w:t>
            </w:r>
            <w:r w:rsidRPr="00277D1E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080" w:type="dxa"/>
            <w:shd w:val="clear" w:color="auto" w:fill="auto"/>
          </w:tcPr>
          <w:p w14:paraId="5B5A9E1F" w14:textId="77777777" w:rsidR="001D783E" w:rsidRPr="00277D1E" w:rsidRDefault="007F0EFA" w:rsidP="001D78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</w:t>
            </w:r>
            <w:r w:rsidR="001D783E" w:rsidRPr="00277D1E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3420" w:type="dxa"/>
            <w:shd w:val="clear" w:color="auto" w:fill="auto"/>
          </w:tcPr>
          <w:p w14:paraId="3E70E986" w14:textId="77777777" w:rsidR="001D783E" w:rsidRPr="00277D1E" w:rsidRDefault="001D783E" w:rsidP="001D783E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0CBB807E" w14:textId="77777777" w:rsidR="001D783E" w:rsidRPr="00277D1E" w:rsidRDefault="001D783E" w:rsidP="001D783E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277D1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77D1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7D1E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277D1E"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14:paraId="103D07D7" w14:textId="77777777" w:rsidR="001D783E" w:rsidRPr="00277D1E" w:rsidRDefault="007D7463" w:rsidP="007D7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interval of the day as hour 0 minute 05</w:t>
            </w:r>
            <w:r w:rsidR="001D783E" w:rsidRPr="00277D1E">
              <w:rPr>
                <w:rFonts w:ascii="Arial" w:hAnsi="Arial" w:cs="Arial"/>
                <w:sz w:val="20"/>
                <w:szCs w:val="20"/>
              </w:rPr>
              <w:t xml:space="preserve"> and last </w:t>
            </w:r>
            <w:r>
              <w:rPr>
                <w:rFonts w:ascii="Arial" w:hAnsi="Arial" w:cs="Arial"/>
                <w:sz w:val="20"/>
                <w:szCs w:val="20"/>
              </w:rPr>
              <w:t>interval</w:t>
            </w:r>
            <w:r w:rsidR="001D783E" w:rsidRPr="00277D1E">
              <w:rPr>
                <w:rFonts w:ascii="Arial" w:hAnsi="Arial" w:cs="Arial"/>
                <w:sz w:val="20"/>
                <w:szCs w:val="20"/>
              </w:rPr>
              <w:t xml:space="preserve"> of the day as hour 24</w:t>
            </w:r>
            <w:r>
              <w:rPr>
                <w:rFonts w:ascii="Arial" w:hAnsi="Arial" w:cs="Arial"/>
                <w:sz w:val="20"/>
                <w:szCs w:val="20"/>
              </w:rPr>
              <w:t xml:space="preserve"> minute 00</w:t>
            </w:r>
            <w:r w:rsidR="001D783E" w:rsidRPr="00277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783E" w:rsidRPr="00277D1E" w14:paraId="679FBBD3" w14:textId="77777777" w:rsidTr="00277D1E">
        <w:tc>
          <w:tcPr>
            <w:tcW w:w="3780" w:type="dxa"/>
            <w:shd w:val="clear" w:color="auto" w:fill="auto"/>
          </w:tcPr>
          <w:p w14:paraId="2DFE71B2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 xml:space="preserve">GMT </w:t>
            </w:r>
            <w:r w:rsidR="003D442C">
              <w:rPr>
                <w:rFonts w:ascii="Arial" w:hAnsi="Arial" w:cs="Arial"/>
                <w:sz w:val="20"/>
                <w:szCs w:val="20"/>
              </w:rPr>
              <w:t>Interval</w:t>
            </w:r>
            <w:r w:rsidRPr="00277D1E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155C918F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B48D0E6" w14:textId="77777777" w:rsidR="001D783E" w:rsidRPr="00277D1E" w:rsidRDefault="003A7C07" w:rsidP="003D442C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GMT_</w:t>
            </w:r>
            <w:r w:rsidR="003D442C">
              <w:rPr>
                <w:rFonts w:ascii="Arial" w:hAnsi="Arial" w:cs="Arial"/>
                <w:sz w:val="20"/>
                <w:szCs w:val="20"/>
              </w:rPr>
              <w:t>INTERVAL</w:t>
            </w:r>
            <w:r w:rsidRPr="00277D1E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080" w:type="dxa"/>
            <w:shd w:val="clear" w:color="auto" w:fill="auto"/>
          </w:tcPr>
          <w:p w14:paraId="5382D900" w14:textId="77777777" w:rsidR="001D783E" w:rsidRPr="00277D1E" w:rsidRDefault="007F0EFA" w:rsidP="001D78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4001.41</w:t>
            </w:r>
          </w:p>
        </w:tc>
        <w:tc>
          <w:tcPr>
            <w:tcW w:w="3420" w:type="dxa"/>
            <w:shd w:val="clear" w:color="auto" w:fill="auto"/>
          </w:tcPr>
          <w:p w14:paraId="5DCBBFD9" w14:textId="77777777" w:rsidR="00264A16" w:rsidRPr="00764D04" w:rsidRDefault="00264A16" w:rsidP="00264A16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6C8BC26B" w14:textId="77777777" w:rsidR="00264A16" w:rsidRPr="00764D04" w:rsidRDefault="00264A16" w:rsidP="00264A16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14:paraId="48AE73DD" w14:textId="77777777" w:rsidR="001D783E" w:rsidRPr="00264A16" w:rsidRDefault="00264A16" w:rsidP="001D783E">
            <w:r w:rsidRPr="00764D04">
              <w:rPr>
                <w:rFonts w:ascii="Arial" w:hAnsi="Arial" w:cs="Arial"/>
                <w:sz w:val="20"/>
                <w:szCs w:val="20"/>
              </w:rPr>
              <w:t>Displays first interval of the day in relation to EPT interval as hour 04 minute 05 or hour 05 minute 05 (EDT/EST depending) and last interval of the day as hour 04 minute 00 of the next day or hour 05 minute 00 of the next day (EDT/EST depending)</w:t>
            </w:r>
          </w:p>
        </w:tc>
      </w:tr>
      <w:tr w:rsidR="001D783E" w:rsidRPr="00277D1E" w14:paraId="3D11FBC7" w14:textId="77777777" w:rsidTr="00277D1E">
        <w:trPr>
          <w:trHeight w:val="413"/>
        </w:trPr>
        <w:tc>
          <w:tcPr>
            <w:tcW w:w="3780" w:type="dxa"/>
            <w:shd w:val="clear" w:color="auto" w:fill="auto"/>
          </w:tcPr>
          <w:p w14:paraId="75F585FC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Unit ID</w:t>
            </w:r>
          </w:p>
          <w:p w14:paraId="672209CF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FDF2E61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080" w:type="dxa"/>
            <w:shd w:val="clear" w:color="auto" w:fill="auto"/>
          </w:tcPr>
          <w:p w14:paraId="50031375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4000.63</w:t>
            </w:r>
          </w:p>
        </w:tc>
        <w:tc>
          <w:tcPr>
            <w:tcW w:w="3420" w:type="dxa"/>
            <w:shd w:val="clear" w:color="auto" w:fill="auto"/>
          </w:tcPr>
          <w:p w14:paraId="210E4FA4" w14:textId="77777777" w:rsidR="001D783E" w:rsidRPr="00277D1E" w:rsidRDefault="00DE65D1" w:rsidP="00FF5B4E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NUMBER(8,0)</w:t>
            </w:r>
          </w:p>
        </w:tc>
      </w:tr>
      <w:tr w:rsidR="001D783E" w:rsidRPr="00277D1E" w14:paraId="5DE3172A" w14:textId="77777777" w:rsidTr="00277D1E">
        <w:tc>
          <w:tcPr>
            <w:tcW w:w="3780" w:type="dxa"/>
            <w:shd w:val="clear" w:color="auto" w:fill="auto"/>
          </w:tcPr>
          <w:p w14:paraId="75F4D9C8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Unit Name</w:t>
            </w:r>
          </w:p>
          <w:p w14:paraId="4D53BB5A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047428A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UNIT</w:t>
            </w:r>
            <w:r w:rsidR="008540A4" w:rsidRPr="00277D1E">
              <w:rPr>
                <w:rFonts w:ascii="Arial" w:hAnsi="Arial" w:cs="Arial"/>
                <w:sz w:val="20"/>
                <w:szCs w:val="20"/>
              </w:rPr>
              <w:t>_NAME</w:t>
            </w:r>
          </w:p>
        </w:tc>
        <w:tc>
          <w:tcPr>
            <w:tcW w:w="1080" w:type="dxa"/>
            <w:shd w:val="clear" w:color="auto" w:fill="auto"/>
          </w:tcPr>
          <w:p w14:paraId="68D06F9D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3420" w:type="dxa"/>
            <w:shd w:val="clear" w:color="auto" w:fill="auto"/>
          </w:tcPr>
          <w:p w14:paraId="1F56BED1" w14:textId="77777777" w:rsidR="001D783E" w:rsidRPr="00277D1E" w:rsidRDefault="00DE65D1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VARCHAR2(60)</w:t>
            </w:r>
          </w:p>
        </w:tc>
      </w:tr>
      <w:tr w:rsidR="001D783E" w:rsidRPr="00277D1E" w14:paraId="53184E09" w14:textId="77777777" w:rsidTr="00277D1E">
        <w:tc>
          <w:tcPr>
            <w:tcW w:w="3780" w:type="dxa"/>
            <w:shd w:val="clear" w:color="auto" w:fill="auto"/>
          </w:tcPr>
          <w:p w14:paraId="6BFC8BC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Unit Ownership Share</w:t>
            </w:r>
          </w:p>
          <w:p w14:paraId="528B7C94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C371C98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lastRenderedPageBreak/>
              <w:t>UNIT_OWNERSHIP_SHARE</w:t>
            </w:r>
          </w:p>
        </w:tc>
        <w:tc>
          <w:tcPr>
            <w:tcW w:w="1080" w:type="dxa"/>
            <w:shd w:val="clear" w:color="auto" w:fill="auto"/>
          </w:tcPr>
          <w:p w14:paraId="7950E375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3000.80</w:t>
            </w:r>
          </w:p>
        </w:tc>
        <w:tc>
          <w:tcPr>
            <w:tcW w:w="3420" w:type="dxa"/>
            <w:shd w:val="clear" w:color="auto" w:fill="auto"/>
          </w:tcPr>
          <w:p w14:paraId="2F330374" w14:textId="77777777" w:rsidR="001D783E" w:rsidRPr="00277D1E" w:rsidRDefault="00DE65D1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1D783E" w:rsidRPr="00277D1E" w14:paraId="4E395C7E" w14:textId="77777777" w:rsidTr="00277D1E">
        <w:tc>
          <w:tcPr>
            <w:tcW w:w="3780" w:type="dxa"/>
            <w:shd w:val="clear" w:color="auto" w:fill="auto"/>
          </w:tcPr>
          <w:p w14:paraId="66768164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Schedule ID</w:t>
            </w:r>
          </w:p>
          <w:p w14:paraId="6B4EB62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5AF451F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SCHEDULE_ID</w:t>
            </w:r>
          </w:p>
        </w:tc>
        <w:tc>
          <w:tcPr>
            <w:tcW w:w="1080" w:type="dxa"/>
            <w:shd w:val="clear" w:color="auto" w:fill="auto"/>
          </w:tcPr>
          <w:p w14:paraId="6FFB846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4000.65</w:t>
            </w:r>
          </w:p>
        </w:tc>
        <w:tc>
          <w:tcPr>
            <w:tcW w:w="3420" w:type="dxa"/>
            <w:shd w:val="clear" w:color="auto" w:fill="auto"/>
          </w:tcPr>
          <w:p w14:paraId="1F139B4B" w14:textId="77777777" w:rsidR="001D783E" w:rsidRPr="00277D1E" w:rsidRDefault="00DE65D1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1D783E" w:rsidRPr="00277D1E" w14:paraId="044FE10F" w14:textId="77777777" w:rsidTr="00277D1E">
        <w:tc>
          <w:tcPr>
            <w:tcW w:w="3780" w:type="dxa"/>
            <w:shd w:val="clear" w:color="auto" w:fill="auto"/>
          </w:tcPr>
          <w:p w14:paraId="099E3C3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Reactive Services Indicator</w:t>
            </w:r>
          </w:p>
          <w:p w14:paraId="16790025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075014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REACTIVE_SERVICES_INDICATOR</w:t>
            </w:r>
          </w:p>
        </w:tc>
        <w:tc>
          <w:tcPr>
            <w:tcW w:w="1080" w:type="dxa"/>
            <w:shd w:val="clear" w:color="auto" w:fill="auto"/>
          </w:tcPr>
          <w:p w14:paraId="2297D16E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4000.66</w:t>
            </w:r>
          </w:p>
        </w:tc>
        <w:tc>
          <w:tcPr>
            <w:tcW w:w="3420" w:type="dxa"/>
            <w:shd w:val="clear" w:color="auto" w:fill="auto"/>
          </w:tcPr>
          <w:p w14:paraId="354A2B59" w14:textId="77777777" w:rsidR="001D783E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CHAR(1)</w:t>
            </w:r>
          </w:p>
          <w:p w14:paraId="796DCC9F" w14:textId="77777777" w:rsidR="00DE65D1" w:rsidRPr="00277D1E" w:rsidRDefault="00C6376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See possible values below</w:t>
            </w:r>
          </w:p>
        </w:tc>
      </w:tr>
      <w:tr w:rsidR="001D783E" w:rsidRPr="00277D1E" w14:paraId="5CCBC8A1" w14:textId="77777777" w:rsidTr="00277D1E">
        <w:tc>
          <w:tcPr>
            <w:tcW w:w="3780" w:type="dxa"/>
            <w:shd w:val="clear" w:color="auto" w:fill="auto"/>
          </w:tcPr>
          <w:p w14:paraId="0779A224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Condensing Duration (</w:t>
            </w:r>
            <w:r w:rsidR="00DA3CBA">
              <w:rPr>
                <w:rFonts w:ascii="Arial" w:hAnsi="Arial" w:cs="Arial"/>
                <w:sz w:val="20"/>
                <w:szCs w:val="20"/>
              </w:rPr>
              <w:t>% 5 Min</w:t>
            </w:r>
            <w:r w:rsidR="00406DCA">
              <w:rPr>
                <w:rFonts w:ascii="Arial" w:hAnsi="Arial" w:cs="Arial"/>
                <w:sz w:val="20"/>
                <w:szCs w:val="20"/>
              </w:rPr>
              <w:t xml:space="preserve"> Interval</w:t>
            </w:r>
            <w:r w:rsidRPr="00277D1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4E0090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B788B13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COND_DURATION</w:t>
            </w:r>
          </w:p>
        </w:tc>
        <w:tc>
          <w:tcPr>
            <w:tcW w:w="1080" w:type="dxa"/>
            <w:shd w:val="clear" w:color="auto" w:fill="auto"/>
          </w:tcPr>
          <w:p w14:paraId="4A7C2DEB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2377.13</w:t>
            </w:r>
          </w:p>
        </w:tc>
        <w:tc>
          <w:tcPr>
            <w:tcW w:w="3420" w:type="dxa"/>
            <w:shd w:val="clear" w:color="auto" w:fill="auto"/>
          </w:tcPr>
          <w:p w14:paraId="18FA7E4B" w14:textId="77777777" w:rsidR="001D783E" w:rsidRPr="00277D1E" w:rsidRDefault="00DE65D1" w:rsidP="00810B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1D783E" w:rsidRPr="00277D1E" w14:paraId="68780267" w14:textId="77777777" w:rsidTr="00277D1E">
        <w:tc>
          <w:tcPr>
            <w:tcW w:w="3780" w:type="dxa"/>
            <w:shd w:val="clear" w:color="auto" w:fill="auto"/>
          </w:tcPr>
          <w:p w14:paraId="10DCA9F9" w14:textId="77777777" w:rsidR="001D783E" w:rsidRPr="00C34D75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C34D75">
              <w:rPr>
                <w:rFonts w:ascii="Arial" w:hAnsi="Arial" w:cs="Arial"/>
                <w:sz w:val="20"/>
                <w:szCs w:val="20"/>
              </w:rPr>
              <w:t>Condensing Offer ($/</w:t>
            </w:r>
            <w:proofErr w:type="spellStart"/>
            <w:r w:rsidRPr="00C34D75">
              <w:rPr>
                <w:rFonts w:ascii="Arial" w:hAnsi="Arial" w:cs="Arial"/>
                <w:sz w:val="20"/>
                <w:szCs w:val="20"/>
              </w:rPr>
              <w:t>h</w:t>
            </w:r>
            <w:r w:rsidR="008540A4" w:rsidRPr="00C34D75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C34D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7174FE" w14:textId="77777777" w:rsidR="001D783E" w:rsidRPr="00C34D75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7A235AD" w14:textId="77777777" w:rsidR="001D783E" w:rsidRPr="00C34D75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C34D75">
              <w:rPr>
                <w:rFonts w:ascii="Arial" w:hAnsi="Arial" w:cs="Arial"/>
                <w:sz w:val="20"/>
                <w:szCs w:val="20"/>
              </w:rPr>
              <w:t>COND_OFFER</w:t>
            </w:r>
          </w:p>
        </w:tc>
        <w:tc>
          <w:tcPr>
            <w:tcW w:w="1080" w:type="dxa"/>
            <w:shd w:val="clear" w:color="auto" w:fill="auto"/>
          </w:tcPr>
          <w:p w14:paraId="14F1FC00" w14:textId="77777777" w:rsidR="001D783E" w:rsidRPr="00C34D75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C34D75">
              <w:rPr>
                <w:rFonts w:ascii="Arial" w:hAnsi="Arial" w:cs="Arial"/>
                <w:sz w:val="20"/>
                <w:szCs w:val="20"/>
              </w:rPr>
              <w:t>2377.14</w:t>
            </w:r>
          </w:p>
        </w:tc>
        <w:tc>
          <w:tcPr>
            <w:tcW w:w="3420" w:type="dxa"/>
            <w:shd w:val="clear" w:color="auto" w:fill="auto"/>
          </w:tcPr>
          <w:p w14:paraId="225D50C9" w14:textId="77777777" w:rsidR="001D783E" w:rsidRPr="00C34D75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C34D75">
              <w:rPr>
                <w:rFonts w:ascii="Arial" w:hAnsi="Arial" w:cs="Arial"/>
                <w:sz w:val="20"/>
                <w:szCs w:val="20"/>
              </w:rPr>
              <w:t>NUMBER(10,2)</w:t>
            </w:r>
          </w:p>
          <w:p w14:paraId="70F0FF1D" w14:textId="77777777" w:rsidR="002831B1" w:rsidRPr="00C34D75" w:rsidRDefault="002831B1" w:rsidP="00810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3E" w:rsidRPr="00277D1E" w14:paraId="0B7BFB74" w14:textId="77777777" w:rsidTr="00277D1E">
        <w:tc>
          <w:tcPr>
            <w:tcW w:w="3780" w:type="dxa"/>
            <w:shd w:val="clear" w:color="auto" w:fill="auto"/>
          </w:tcPr>
          <w:p w14:paraId="5F0127D2" w14:textId="77777777" w:rsidR="001D783E" w:rsidRPr="00277D1E" w:rsidRDefault="008D6151" w:rsidP="008D1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Use (MW</w:t>
            </w:r>
            <w:r w:rsidR="001D783E" w:rsidRPr="00277D1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618D8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B7FB057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ENERGY_USE</w:t>
            </w:r>
          </w:p>
        </w:tc>
        <w:tc>
          <w:tcPr>
            <w:tcW w:w="1080" w:type="dxa"/>
            <w:shd w:val="clear" w:color="auto" w:fill="auto"/>
          </w:tcPr>
          <w:p w14:paraId="0C9CBED8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2377.15</w:t>
            </w:r>
          </w:p>
        </w:tc>
        <w:tc>
          <w:tcPr>
            <w:tcW w:w="3420" w:type="dxa"/>
            <w:shd w:val="clear" w:color="auto" w:fill="auto"/>
          </w:tcPr>
          <w:p w14:paraId="745211A6" w14:textId="77777777" w:rsidR="001D783E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NUMBER(11,3)</w:t>
            </w:r>
          </w:p>
        </w:tc>
      </w:tr>
      <w:tr w:rsidR="001D783E" w:rsidRPr="00277D1E" w14:paraId="64B79A87" w14:textId="77777777" w:rsidTr="00277D1E">
        <w:tc>
          <w:tcPr>
            <w:tcW w:w="3780" w:type="dxa"/>
            <w:shd w:val="clear" w:color="auto" w:fill="auto"/>
          </w:tcPr>
          <w:p w14:paraId="2E6A4538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RT Generator LMP ($/MWh)</w:t>
            </w:r>
          </w:p>
          <w:p w14:paraId="3DEE320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602620D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RT_GENERATOR_LMP</w:t>
            </w:r>
          </w:p>
        </w:tc>
        <w:tc>
          <w:tcPr>
            <w:tcW w:w="1080" w:type="dxa"/>
            <w:shd w:val="clear" w:color="auto" w:fill="auto"/>
          </w:tcPr>
          <w:p w14:paraId="5478844F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3000.25</w:t>
            </w:r>
          </w:p>
        </w:tc>
        <w:tc>
          <w:tcPr>
            <w:tcW w:w="3420" w:type="dxa"/>
            <w:shd w:val="clear" w:color="auto" w:fill="auto"/>
          </w:tcPr>
          <w:p w14:paraId="2E78A0A5" w14:textId="77777777" w:rsidR="00DE65D1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1D783E" w:rsidRPr="00277D1E" w14:paraId="2EC631B1" w14:textId="77777777" w:rsidTr="00277D1E">
        <w:tc>
          <w:tcPr>
            <w:tcW w:w="3780" w:type="dxa"/>
            <w:shd w:val="clear" w:color="auto" w:fill="auto"/>
          </w:tcPr>
          <w:p w14:paraId="72B01CE8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 xml:space="preserve">Offer at RT LMP Desired MWh </w:t>
            </w:r>
            <w:r w:rsidR="006925B4" w:rsidRPr="00277D1E">
              <w:rPr>
                <w:rFonts w:ascii="Arial" w:hAnsi="Arial" w:cs="Arial"/>
                <w:sz w:val="20"/>
                <w:szCs w:val="20"/>
              </w:rPr>
              <w:t>(</w:t>
            </w:r>
            <w:r w:rsidRPr="00277D1E">
              <w:rPr>
                <w:rFonts w:ascii="Arial" w:hAnsi="Arial" w:cs="Arial"/>
                <w:sz w:val="20"/>
                <w:szCs w:val="20"/>
              </w:rPr>
              <w:t>$/MWh)</w:t>
            </w:r>
          </w:p>
        </w:tc>
        <w:tc>
          <w:tcPr>
            <w:tcW w:w="4320" w:type="dxa"/>
            <w:shd w:val="clear" w:color="auto" w:fill="auto"/>
          </w:tcPr>
          <w:p w14:paraId="6951F7C0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OFFER_AT_RT_LMP_DESIRED_MWH</w:t>
            </w:r>
          </w:p>
        </w:tc>
        <w:tc>
          <w:tcPr>
            <w:tcW w:w="1080" w:type="dxa"/>
            <w:shd w:val="clear" w:color="auto" w:fill="auto"/>
          </w:tcPr>
          <w:p w14:paraId="089A6A2E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2377.16</w:t>
            </w:r>
          </w:p>
        </w:tc>
        <w:tc>
          <w:tcPr>
            <w:tcW w:w="3420" w:type="dxa"/>
            <w:shd w:val="clear" w:color="auto" w:fill="auto"/>
          </w:tcPr>
          <w:p w14:paraId="26E809A1" w14:textId="77777777" w:rsidR="001D783E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1D783E" w:rsidRPr="00277D1E" w14:paraId="2689BB36" w14:textId="77777777" w:rsidTr="00277D1E">
        <w:tc>
          <w:tcPr>
            <w:tcW w:w="3780" w:type="dxa"/>
            <w:shd w:val="clear" w:color="auto" w:fill="auto"/>
          </w:tcPr>
          <w:p w14:paraId="046D22BB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Condensing Start Up Cost ($)</w:t>
            </w:r>
          </w:p>
          <w:p w14:paraId="69DA01B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B811356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COND_STARTUP_COST</w:t>
            </w:r>
          </w:p>
        </w:tc>
        <w:tc>
          <w:tcPr>
            <w:tcW w:w="1080" w:type="dxa"/>
            <w:shd w:val="clear" w:color="auto" w:fill="auto"/>
          </w:tcPr>
          <w:p w14:paraId="51CFB11E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2377.17</w:t>
            </w:r>
          </w:p>
        </w:tc>
        <w:tc>
          <w:tcPr>
            <w:tcW w:w="3420" w:type="dxa"/>
            <w:shd w:val="clear" w:color="auto" w:fill="auto"/>
          </w:tcPr>
          <w:p w14:paraId="27CAB4E0" w14:textId="77777777" w:rsidR="001D783E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1D783E" w:rsidRPr="00277D1E" w14:paraId="72D9F544" w14:textId="77777777" w:rsidTr="00277D1E">
        <w:tc>
          <w:tcPr>
            <w:tcW w:w="3780" w:type="dxa"/>
            <w:shd w:val="clear" w:color="auto" w:fill="auto"/>
          </w:tcPr>
          <w:p w14:paraId="0CDFC530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Economic Max (MWh)</w:t>
            </w:r>
          </w:p>
          <w:p w14:paraId="7F9C693F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E7E998A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ECONOMIC_MAX</w:t>
            </w:r>
          </w:p>
        </w:tc>
        <w:tc>
          <w:tcPr>
            <w:tcW w:w="1080" w:type="dxa"/>
            <w:shd w:val="clear" w:color="auto" w:fill="auto"/>
          </w:tcPr>
          <w:p w14:paraId="49D4FC27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3000.98</w:t>
            </w:r>
          </w:p>
        </w:tc>
        <w:tc>
          <w:tcPr>
            <w:tcW w:w="3420" w:type="dxa"/>
            <w:shd w:val="clear" w:color="auto" w:fill="auto"/>
          </w:tcPr>
          <w:p w14:paraId="0ADA46C7" w14:textId="77777777" w:rsidR="001D783E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NUMBER(11,3)</w:t>
            </w:r>
          </w:p>
        </w:tc>
      </w:tr>
      <w:tr w:rsidR="001D783E" w:rsidRPr="00277D1E" w14:paraId="23A328EC" w14:textId="77777777" w:rsidTr="00277D1E">
        <w:trPr>
          <w:trHeight w:val="422"/>
        </w:trPr>
        <w:tc>
          <w:tcPr>
            <w:tcW w:w="3780" w:type="dxa"/>
            <w:shd w:val="clear" w:color="auto" w:fill="auto"/>
          </w:tcPr>
          <w:p w14:paraId="2EA31BA7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RT  Generatio</w:t>
            </w:r>
            <w:r w:rsidR="008D6151">
              <w:rPr>
                <w:rFonts w:ascii="Arial" w:hAnsi="Arial" w:cs="Arial"/>
                <w:sz w:val="20"/>
                <w:szCs w:val="20"/>
              </w:rPr>
              <w:t>n (MW</w:t>
            </w:r>
            <w:r w:rsidRPr="00277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4268A983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RT_GENERATION</w:t>
            </w:r>
          </w:p>
        </w:tc>
        <w:tc>
          <w:tcPr>
            <w:tcW w:w="1080" w:type="dxa"/>
            <w:shd w:val="clear" w:color="auto" w:fill="auto"/>
          </w:tcPr>
          <w:p w14:paraId="443BEA3F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3000.33</w:t>
            </w:r>
          </w:p>
        </w:tc>
        <w:tc>
          <w:tcPr>
            <w:tcW w:w="3420" w:type="dxa"/>
            <w:shd w:val="clear" w:color="auto" w:fill="auto"/>
          </w:tcPr>
          <w:p w14:paraId="49963CB1" w14:textId="77777777" w:rsidR="001D783E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NUMBER(11,3)</w:t>
            </w:r>
          </w:p>
        </w:tc>
      </w:tr>
      <w:tr w:rsidR="001D783E" w:rsidRPr="00277D1E" w14:paraId="2CD7511F" w14:textId="77777777" w:rsidTr="00277D1E">
        <w:tc>
          <w:tcPr>
            <w:tcW w:w="3780" w:type="dxa"/>
            <w:shd w:val="clear" w:color="auto" w:fill="auto"/>
          </w:tcPr>
          <w:p w14:paraId="45659850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SRMCP ($/MWh)</w:t>
            </w:r>
          </w:p>
          <w:p w14:paraId="6590FFD7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6B3BF97" w14:textId="77777777" w:rsidR="001D783E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SRMCP</w:t>
            </w:r>
          </w:p>
        </w:tc>
        <w:tc>
          <w:tcPr>
            <w:tcW w:w="1080" w:type="dxa"/>
            <w:shd w:val="clear" w:color="auto" w:fill="auto"/>
          </w:tcPr>
          <w:p w14:paraId="38C9A739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3000.61</w:t>
            </w:r>
          </w:p>
        </w:tc>
        <w:tc>
          <w:tcPr>
            <w:tcW w:w="3420" w:type="dxa"/>
            <w:shd w:val="clear" w:color="auto" w:fill="auto"/>
          </w:tcPr>
          <w:p w14:paraId="2B21055B" w14:textId="77777777" w:rsidR="001D783E" w:rsidRPr="00277D1E" w:rsidRDefault="00DE65D1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NUMBER(14,2)</w:t>
            </w:r>
          </w:p>
        </w:tc>
      </w:tr>
      <w:tr w:rsidR="00DE65D1" w:rsidRPr="00277D1E" w14:paraId="7F65380F" w14:textId="77777777" w:rsidTr="00277D1E">
        <w:trPr>
          <w:trHeight w:val="422"/>
        </w:trPr>
        <w:tc>
          <w:tcPr>
            <w:tcW w:w="3780" w:type="dxa"/>
            <w:shd w:val="clear" w:color="auto" w:fill="auto"/>
          </w:tcPr>
          <w:p w14:paraId="5B4FDCAA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Synchronous Condensing Credit ($)</w:t>
            </w:r>
          </w:p>
        </w:tc>
        <w:tc>
          <w:tcPr>
            <w:tcW w:w="4320" w:type="dxa"/>
            <w:shd w:val="clear" w:color="auto" w:fill="auto"/>
          </w:tcPr>
          <w:p w14:paraId="21D14DC3" w14:textId="77777777" w:rsidR="00DE65D1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SYNC_COND_CR</w:t>
            </w:r>
          </w:p>
        </w:tc>
        <w:tc>
          <w:tcPr>
            <w:tcW w:w="1080" w:type="dxa"/>
            <w:shd w:val="clear" w:color="auto" w:fill="auto"/>
          </w:tcPr>
          <w:p w14:paraId="75A0E9CF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2377.18</w:t>
            </w:r>
          </w:p>
        </w:tc>
        <w:tc>
          <w:tcPr>
            <w:tcW w:w="3420" w:type="dxa"/>
            <w:shd w:val="clear" w:color="auto" w:fill="auto"/>
          </w:tcPr>
          <w:p w14:paraId="39369E57" w14:textId="77777777" w:rsidR="00DE65D1" w:rsidRDefault="00DE65D1">
            <w:r w:rsidRPr="00277D1E">
              <w:rPr>
                <w:rFonts w:ascii="Arial" w:hAnsi="Arial" w:cs="Arial"/>
                <w:sz w:val="20"/>
                <w:szCs w:val="20"/>
              </w:rPr>
              <w:t>NUMBER</w:t>
            </w:r>
            <w:r w:rsidR="00763126" w:rsidRPr="00277D1E">
              <w:rPr>
                <w:rFonts w:ascii="Arial" w:hAnsi="Arial" w:cs="Arial"/>
                <w:sz w:val="20"/>
                <w:szCs w:val="20"/>
              </w:rPr>
              <w:t>(22,2)</w:t>
            </w:r>
          </w:p>
        </w:tc>
      </w:tr>
      <w:tr w:rsidR="00DE65D1" w:rsidRPr="00277D1E" w14:paraId="7778A9A7" w14:textId="77777777" w:rsidTr="00277D1E">
        <w:trPr>
          <w:trHeight w:val="539"/>
        </w:trPr>
        <w:tc>
          <w:tcPr>
            <w:tcW w:w="3780" w:type="dxa"/>
            <w:shd w:val="clear" w:color="auto" w:fill="auto"/>
          </w:tcPr>
          <w:p w14:paraId="69248A16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 xml:space="preserve">Synchronous Condensing Lost </w:t>
            </w:r>
            <w:smartTag w:uri="urn:schemas-microsoft-com:office:smarttags" w:element="place">
              <w:r w:rsidRPr="00277D1E">
                <w:rPr>
                  <w:rFonts w:ascii="Arial" w:hAnsi="Arial" w:cs="Arial"/>
                  <w:sz w:val="20"/>
                  <w:szCs w:val="20"/>
                </w:rPr>
                <w:t>Opportunity</w:t>
              </w:r>
            </w:smartTag>
            <w:r w:rsidRPr="00277D1E">
              <w:rPr>
                <w:rFonts w:ascii="Arial" w:hAnsi="Arial" w:cs="Arial"/>
                <w:sz w:val="20"/>
                <w:szCs w:val="20"/>
              </w:rPr>
              <w:t xml:space="preserve"> Cost Credit ($)</w:t>
            </w:r>
          </w:p>
        </w:tc>
        <w:tc>
          <w:tcPr>
            <w:tcW w:w="4320" w:type="dxa"/>
            <w:shd w:val="clear" w:color="auto" w:fill="auto"/>
          </w:tcPr>
          <w:p w14:paraId="39D26AE6" w14:textId="77777777" w:rsidR="00DE65D1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SYNC_COND_LOST_OPP_COST_CREDIT</w:t>
            </w:r>
          </w:p>
        </w:tc>
        <w:tc>
          <w:tcPr>
            <w:tcW w:w="1080" w:type="dxa"/>
            <w:shd w:val="clear" w:color="auto" w:fill="auto"/>
          </w:tcPr>
          <w:p w14:paraId="585BCB86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2377.19</w:t>
            </w:r>
          </w:p>
        </w:tc>
        <w:tc>
          <w:tcPr>
            <w:tcW w:w="3420" w:type="dxa"/>
            <w:shd w:val="clear" w:color="auto" w:fill="auto"/>
          </w:tcPr>
          <w:p w14:paraId="549BC8F1" w14:textId="77777777" w:rsidR="00DE65D1" w:rsidRDefault="00DE65D1">
            <w:r w:rsidRPr="00277D1E">
              <w:rPr>
                <w:rFonts w:ascii="Arial" w:hAnsi="Arial" w:cs="Arial"/>
                <w:sz w:val="20"/>
                <w:szCs w:val="20"/>
              </w:rPr>
              <w:t>NUMBER</w:t>
            </w:r>
            <w:r w:rsidR="00763126" w:rsidRPr="00277D1E">
              <w:rPr>
                <w:rFonts w:ascii="Arial" w:hAnsi="Arial" w:cs="Arial"/>
                <w:sz w:val="20"/>
                <w:szCs w:val="20"/>
              </w:rPr>
              <w:t>(22,2)</w:t>
            </w:r>
          </w:p>
        </w:tc>
      </w:tr>
      <w:tr w:rsidR="00DE65D1" w:rsidRPr="00277D1E" w14:paraId="77597CDB" w14:textId="77777777" w:rsidTr="00277D1E">
        <w:tc>
          <w:tcPr>
            <w:tcW w:w="3780" w:type="dxa"/>
            <w:shd w:val="clear" w:color="auto" w:fill="auto"/>
          </w:tcPr>
          <w:p w14:paraId="6B115F48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Reactive Services Condensing Credit($)</w:t>
            </w:r>
          </w:p>
        </w:tc>
        <w:tc>
          <w:tcPr>
            <w:tcW w:w="4320" w:type="dxa"/>
            <w:shd w:val="clear" w:color="auto" w:fill="auto"/>
          </w:tcPr>
          <w:p w14:paraId="1481317D" w14:textId="77777777" w:rsidR="00DE65D1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REACTIVE_SERVICES_COND_CREDIT</w:t>
            </w:r>
          </w:p>
        </w:tc>
        <w:tc>
          <w:tcPr>
            <w:tcW w:w="1080" w:type="dxa"/>
            <w:shd w:val="clear" w:color="auto" w:fill="auto"/>
          </w:tcPr>
          <w:p w14:paraId="3B544447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2378.18</w:t>
            </w:r>
          </w:p>
        </w:tc>
        <w:tc>
          <w:tcPr>
            <w:tcW w:w="3420" w:type="dxa"/>
            <w:shd w:val="clear" w:color="auto" w:fill="auto"/>
          </w:tcPr>
          <w:p w14:paraId="2ACC36A7" w14:textId="77777777" w:rsidR="00DE65D1" w:rsidRDefault="00DE65D1">
            <w:r w:rsidRPr="00277D1E">
              <w:rPr>
                <w:rFonts w:ascii="Arial" w:hAnsi="Arial" w:cs="Arial"/>
                <w:sz w:val="20"/>
                <w:szCs w:val="20"/>
              </w:rPr>
              <w:t>NUMBER</w:t>
            </w:r>
            <w:r w:rsidR="00763126" w:rsidRPr="00277D1E">
              <w:rPr>
                <w:rFonts w:ascii="Arial" w:hAnsi="Arial" w:cs="Arial"/>
                <w:sz w:val="20"/>
                <w:szCs w:val="20"/>
              </w:rPr>
              <w:t>(22,2)</w:t>
            </w:r>
          </w:p>
        </w:tc>
      </w:tr>
      <w:tr w:rsidR="00DE65D1" w:rsidRPr="00277D1E" w14:paraId="59AFCB6A" w14:textId="77777777" w:rsidTr="00277D1E">
        <w:tc>
          <w:tcPr>
            <w:tcW w:w="3780" w:type="dxa"/>
            <w:shd w:val="clear" w:color="auto" w:fill="auto"/>
          </w:tcPr>
          <w:p w14:paraId="3F17D5BE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 xml:space="preserve">Reactive Services Condensing Lost </w:t>
            </w:r>
            <w:smartTag w:uri="urn:schemas-microsoft-com:office:smarttags" w:element="place">
              <w:r w:rsidRPr="00277D1E">
                <w:rPr>
                  <w:rFonts w:ascii="Arial" w:hAnsi="Arial" w:cs="Arial"/>
                  <w:sz w:val="20"/>
                  <w:szCs w:val="20"/>
                </w:rPr>
                <w:t>Opportunity</w:t>
              </w:r>
            </w:smartTag>
            <w:r w:rsidRPr="00277D1E">
              <w:rPr>
                <w:rFonts w:ascii="Arial" w:hAnsi="Arial" w:cs="Arial"/>
                <w:sz w:val="20"/>
                <w:szCs w:val="20"/>
              </w:rPr>
              <w:t xml:space="preserve"> Cost Credit ($)</w:t>
            </w:r>
          </w:p>
        </w:tc>
        <w:tc>
          <w:tcPr>
            <w:tcW w:w="4320" w:type="dxa"/>
            <w:shd w:val="clear" w:color="auto" w:fill="auto"/>
          </w:tcPr>
          <w:p w14:paraId="106FC15A" w14:textId="77777777" w:rsidR="00DE65D1" w:rsidRPr="00277D1E" w:rsidRDefault="003A7C07" w:rsidP="00810B99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REACTIVE_SERVICES_COND_LOC_CREDIT</w:t>
            </w:r>
          </w:p>
        </w:tc>
        <w:tc>
          <w:tcPr>
            <w:tcW w:w="1080" w:type="dxa"/>
            <w:shd w:val="clear" w:color="auto" w:fill="auto"/>
          </w:tcPr>
          <w:p w14:paraId="2A595FAE" w14:textId="77777777" w:rsidR="00DE65D1" w:rsidRPr="00277D1E" w:rsidRDefault="00DE65D1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2378.19</w:t>
            </w:r>
          </w:p>
        </w:tc>
        <w:tc>
          <w:tcPr>
            <w:tcW w:w="3420" w:type="dxa"/>
            <w:shd w:val="clear" w:color="auto" w:fill="auto"/>
          </w:tcPr>
          <w:p w14:paraId="41B862B7" w14:textId="77777777" w:rsidR="00DE65D1" w:rsidRDefault="00DE65D1">
            <w:r w:rsidRPr="00277D1E">
              <w:rPr>
                <w:rFonts w:ascii="Arial" w:hAnsi="Arial" w:cs="Arial"/>
                <w:sz w:val="20"/>
                <w:szCs w:val="20"/>
              </w:rPr>
              <w:t>NUMBER</w:t>
            </w:r>
            <w:r w:rsidR="00763126" w:rsidRPr="00277D1E">
              <w:rPr>
                <w:rFonts w:ascii="Arial" w:hAnsi="Arial" w:cs="Arial"/>
                <w:sz w:val="20"/>
                <w:szCs w:val="20"/>
              </w:rPr>
              <w:t>(22,2)</w:t>
            </w:r>
          </w:p>
        </w:tc>
      </w:tr>
      <w:tr w:rsidR="001D783E" w:rsidRPr="00277D1E" w14:paraId="7033EE05" w14:textId="77777777" w:rsidTr="00277D1E">
        <w:tc>
          <w:tcPr>
            <w:tcW w:w="3780" w:type="dxa"/>
            <w:shd w:val="clear" w:color="auto" w:fill="auto"/>
          </w:tcPr>
          <w:p w14:paraId="481B7F8B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320" w:type="dxa"/>
            <w:shd w:val="clear" w:color="auto" w:fill="auto"/>
          </w:tcPr>
          <w:p w14:paraId="61F8CFC3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080" w:type="dxa"/>
            <w:shd w:val="clear" w:color="auto" w:fill="auto"/>
          </w:tcPr>
          <w:p w14:paraId="214744A2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4000.17</w:t>
            </w:r>
          </w:p>
        </w:tc>
        <w:tc>
          <w:tcPr>
            <w:tcW w:w="3420" w:type="dxa"/>
            <w:shd w:val="clear" w:color="auto" w:fill="auto"/>
          </w:tcPr>
          <w:p w14:paraId="4620B7B1" w14:textId="77777777" w:rsidR="001D783E" w:rsidRPr="00277D1E" w:rsidRDefault="001D783E" w:rsidP="008D1AFD">
            <w:pPr>
              <w:rPr>
                <w:rFonts w:ascii="Arial" w:hAnsi="Arial" w:cs="Arial"/>
                <w:sz w:val="20"/>
                <w:szCs w:val="20"/>
              </w:rPr>
            </w:pPr>
            <w:r w:rsidRPr="00277D1E"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14:paraId="133F252A" w14:textId="77777777" w:rsidR="00DE65D1" w:rsidRDefault="00DE65D1" w:rsidP="00DE65D1">
      <w:pPr>
        <w:ind w:left="432"/>
        <w:rPr>
          <w:rFonts w:ascii="Arial" w:hAnsi="Arial" w:cs="Arial"/>
          <w:sz w:val="20"/>
        </w:rPr>
      </w:pPr>
      <w:r w:rsidRPr="00DE65D1">
        <w:rPr>
          <w:rFonts w:ascii="Arial" w:hAnsi="Arial" w:cs="Arial"/>
          <w:sz w:val="20"/>
        </w:rPr>
        <w:t>Possible Reactive Services Indicator Values: Y or N</w:t>
      </w:r>
    </w:p>
    <w:p w14:paraId="78816CBC" w14:textId="77777777" w:rsidR="002831B1" w:rsidRPr="00DE65D1" w:rsidRDefault="002831B1" w:rsidP="00DE65D1">
      <w:pPr>
        <w:ind w:left="432"/>
        <w:rPr>
          <w:rFonts w:ascii="Arial" w:hAnsi="Arial" w:cs="Arial"/>
          <w:sz w:val="20"/>
        </w:rPr>
      </w:pPr>
    </w:p>
    <w:bookmarkEnd w:id="1"/>
    <w:p w14:paraId="18355625" w14:textId="77777777" w:rsidR="00891C62" w:rsidRPr="00FB5832" w:rsidRDefault="00891C62" w:rsidP="00891C62">
      <w:pPr>
        <w:pStyle w:val="Heading1"/>
      </w:pPr>
      <w:r w:rsidRPr="00FB5832">
        <w:t xml:space="preserve">CSV </w:t>
      </w:r>
      <w:r>
        <w:t>Report Example</w:t>
      </w:r>
    </w:p>
    <w:p w14:paraId="51368801" w14:textId="77777777" w:rsidR="00891C62" w:rsidRDefault="00891C62" w:rsidP="009B2EF3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Excel</w:t>
      </w:r>
      <w:r w:rsidRPr="00FB5832">
        <w:rPr>
          <w:rFonts w:ascii="Arial" w:hAnsi="Arial" w:cs="Arial"/>
          <w:sz w:val="20"/>
        </w:rPr>
        <w:t xml:space="preserve"> file titled </w:t>
      </w:r>
      <w:r w:rsidR="00922C76">
        <w:rPr>
          <w:rFonts w:ascii="Arial" w:hAnsi="Arial" w:cs="Arial"/>
          <w:sz w:val="20"/>
        </w:rPr>
        <w:t>“</w:t>
      </w:r>
      <w:r w:rsidR="009B2EF3" w:rsidRPr="009B2EF3">
        <w:rPr>
          <w:rFonts w:ascii="Arial" w:hAnsi="Arial" w:cs="Arial"/>
          <w:sz w:val="20"/>
        </w:rPr>
        <w:t>Synchronous Condensing Credits</w:t>
      </w:r>
      <w:r w:rsidR="009B2EF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CSV Format.csv”</w:t>
      </w:r>
    </w:p>
    <w:p w14:paraId="340C81E7" w14:textId="77777777" w:rsidR="00891C62" w:rsidRPr="00FB5832" w:rsidRDefault="00891C62" w:rsidP="00891C62">
      <w:pPr>
        <w:pStyle w:val="Heading1"/>
      </w:pPr>
      <w:r w:rsidRPr="00FB5832">
        <w:t xml:space="preserve">XML </w:t>
      </w:r>
      <w:r>
        <w:t>Report Example</w:t>
      </w:r>
    </w:p>
    <w:p w14:paraId="5EE05834" w14:textId="77777777" w:rsidR="00891C62" w:rsidRDefault="00891C62" w:rsidP="009B2EF3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XML</w:t>
      </w:r>
      <w:r w:rsidRPr="00FB5832">
        <w:rPr>
          <w:rFonts w:ascii="Arial" w:hAnsi="Arial" w:cs="Arial"/>
          <w:sz w:val="20"/>
        </w:rPr>
        <w:t xml:space="preserve"> file titled </w:t>
      </w:r>
      <w:r w:rsidR="00922C76">
        <w:rPr>
          <w:rFonts w:ascii="Arial" w:hAnsi="Arial" w:cs="Arial"/>
          <w:sz w:val="20"/>
        </w:rPr>
        <w:t>“</w:t>
      </w:r>
      <w:r w:rsidR="009B2EF3" w:rsidRPr="009B2EF3">
        <w:rPr>
          <w:rFonts w:ascii="Arial" w:hAnsi="Arial" w:cs="Arial"/>
          <w:sz w:val="20"/>
        </w:rPr>
        <w:t>Synchronous Condensing Credits</w:t>
      </w:r>
      <w:r w:rsidR="009B2EF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XML Format.xml”</w:t>
      </w:r>
    </w:p>
    <w:p w14:paraId="5FA4A233" w14:textId="77777777" w:rsidR="00891C62" w:rsidRDefault="00891C62" w:rsidP="00891C62">
      <w:pPr>
        <w:pStyle w:val="Heading1"/>
      </w:pPr>
      <w:r>
        <w:lastRenderedPageBreak/>
        <w:t>Hyperlinks</w:t>
      </w:r>
    </w:p>
    <w:p w14:paraId="49EF5A2A" w14:textId="77777777" w:rsidR="00891C62" w:rsidRDefault="00891C62" w:rsidP="00891C6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online version of this report</w:t>
      </w:r>
      <w:r w:rsidRPr="0015742C">
        <w:rPr>
          <w:rFonts w:ascii="Arial" w:hAnsi="Arial" w:cs="Arial"/>
          <w:sz w:val="20"/>
        </w:rPr>
        <w:t xml:space="preserve"> does not contain hyperlinks.</w:t>
      </w:r>
    </w:p>
    <w:p w14:paraId="7E62DCB7" w14:textId="77777777" w:rsidR="00891C62" w:rsidRDefault="00891C62" w:rsidP="00891C62">
      <w:pPr>
        <w:pStyle w:val="Heading1"/>
      </w:pPr>
      <w:r w:rsidRPr="00FB5832">
        <w:t>Supporting Calculations</w:t>
      </w:r>
    </w:p>
    <w:p w14:paraId="31BA420E" w14:textId="77777777" w:rsidR="008D6151" w:rsidRDefault="008D6151" w:rsidP="008D6151"/>
    <w:p w14:paraId="5184EA60" w14:textId="77777777" w:rsidR="00CA7C0A" w:rsidRPr="00CA7C0A" w:rsidRDefault="00CA7C0A" w:rsidP="008D6151">
      <w:pPr>
        <w:ind w:left="432"/>
        <w:rPr>
          <w:rFonts w:ascii="Arial" w:hAnsi="Arial" w:cs="Arial"/>
          <w:b/>
          <w:sz w:val="20"/>
          <w:u w:val="single"/>
        </w:rPr>
      </w:pPr>
      <w:r w:rsidRPr="00CA7C0A">
        <w:rPr>
          <w:rFonts w:ascii="Arial" w:hAnsi="Arial" w:cs="Arial"/>
          <w:b/>
          <w:sz w:val="20"/>
          <w:u w:val="single"/>
        </w:rPr>
        <w:t>Calculations for dates prior to 4/1/2018:</w:t>
      </w:r>
    </w:p>
    <w:p w14:paraId="7320562A" w14:textId="77777777" w:rsidR="00CA7C0A" w:rsidRDefault="00CA7C0A" w:rsidP="008D6151">
      <w:pPr>
        <w:ind w:left="432"/>
        <w:rPr>
          <w:rFonts w:ascii="Arial" w:hAnsi="Arial" w:cs="Arial"/>
          <w:sz w:val="20"/>
        </w:rPr>
      </w:pPr>
    </w:p>
    <w:p w14:paraId="3A967BAD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Synchronous Condensing Credit (2377.18) = (Condensing Duration (2377.13) * Energy Use (2377.15) * RT Generator LMP (3000.25)) + (Condensing Duration (2377.13) * </w:t>
      </w:r>
      <w:r w:rsidRPr="002147DD">
        <w:rPr>
          <w:rFonts w:ascii="Arial" w:hAnsi="Arial" w:cs="Arial"/>
          <w:sz w:val="20"/>
        </w:rPr>
        <w:t>Condensing Offer (2377.14))</w:t>
      </w:r>
      <w:r>
        <w:rPr>
          <w:rFonts w:ascii="Arial" w:hAnsi="Arial" w:cs="Arial"/>
          <w:sz w:val="20"/>
        </w:rPr>
        <w:t xml:space="preserve"> + Condensing Start Up Cost (2377.17)</w:t>
      </w:r>
    </w:p>
    <w:p w14:paraId="3A135D69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</w:p>
    <w:p w14:paraId="13F35C84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Synchronous Condensing Lost Opportunity Cost Credit (2377.19) = MAX( MAX( Economic Max (3000.98) - MAX(RT Generation MWh (3000.33), 0), 0)) * (MAX(RT Generator LMP (3000.25) - Offer at RT LMP Desired MWh (2377.16), 0))</w:t>
      </w:r>
    </w:p>
    <w:p w14:paraId="7A30DF7C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</w:p>
    <w:p w14:paraId="3FFA8657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</w:p>
    <w:p w14:paraId="09009FD6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Reactive Services Condensing Credit (2378.18) = IF (Synchronous Condensing Credit (2377.18) + Synchronous Condensing Lost Opportunity Cost Credit (2377.19) &gt; Economic Max (3000.98) * SRMCP (3000.61) * Condensing Duration (2377.13) THEN Synchronous Condensing Credit (2377.18) ELSE Economic Max (3000.98) * SRMCP (3000.61) * Condensing Duration (2377.13))</w:t>
      </w:r>
    </w:p>
    <w:p w14:paraId="78007B41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</w:p>
    <w:p w14:paraId="45855464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</w:p>
    <w:p w14:paraId="270349D6" w14:textId="77777777" w:rsidR="008D6151" w:rsidRDefault="008D6151" w:rsidP="008D615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Reactive Services Condensing Lost Opportunity Cost Credit (2378.19) = IF Synchronous Condensing Credit (2377.18) + Synchronous Condensing Lost Opportunity Cost Credit (2377.19) &gt; Economic Max (3000.98) * SRMCP (3000.61) * Condensing Duration (2377.13) THEN Synchronous Condensing Lost Opportunity Cost Credit (2377.19) ELSE 0</w:t>
      </w:r>
    </w:p>
    <w:p w14:paraId="4434517C" w14:textId="77777777" w:rsidR="008D6151" w:rsidRDefault="008D6151" w:rsidP="008D6151"/>
    <w:p w14:paraId="2626EB79" w14:textId="77777777" w:rsidR="008D6151" w:rsidRDefault="008D6151" w:rsidP="008D6151"/>
    <w:p w14:paraId="3E244A3D" w14:textId="77777777" w:rsidR="008D6151" w:rsidRPr="00C34D75" w:rsidRDefault="008D6151" w:rsidP="008D6151">
      <w:pPr>
        <w:ind w:left="432"/>
        <w:rPr>
          <w:rFonts w:ascii="Arial" w:hAnsi="Arial" w:cs="Arial"/>
          <w:b/>
          <w:sz w:val="20"/>
          <w:szCs w:val="20"/>
          <w:u w:val="single"/>
        </w:rPr>
      </w:pPr>
      <w:r w:rsidRPr="00C34D75">
        <w:rPr>
          <w:rFonts w:ascii="Arial" w:hAnsi="Arial" w:cs="Arial"/>
          <w:b/>
          <w:sz w:val="20"/>
          <w:szCs w:val="20"/>
          <w:u w:val="single"/>
        </w:rPr>
        <w:t>Calculations for 5 minute Settlements</w:t>
      </w:r>
      <w:r w:rsidR="00CA7C0A" w:rsidRPr="00C34D75">
        <w:rPr>
          <w:rFonts w:ascii="Arial" w:hAnsi="Arial" w:cs="Arial"/>
          <w:b/>
          <w:sz w:val="20"/>
          <w:szCs w:val="20"/>
          <w:u w:val="single"/>
        </w:rPr>
        <w:t xml:space="preserve"> (4/1/2018)</w:t>
      </w:r>
      <w:r w:rsidRPr="00C34D75">
        <w:rPr>
          <w:rFonts w:ascii="Arial" w:hAnsi="Arial" w:cs="Arial"/>
          <w:b/>
          <w:sz w:val="20"/>
          <w:szCs w:val="20"/>
          <w:u w:val="single"/>
        </w:rPr>
        <w:t>:</w:t>
      </w:r>
    </w:p>
    <w:p w14:paraId="1140D25E" w14:textId="77777777" w:rsidR="008D6151" w:rsidRPr="00C34D75" w:rsidRDefault="008D6151" w:rsidP="008D6151"/>
    <w:p w14:paraId="7ED30935" w14:textId="77777777" w:rsidR="004639AD" w:rsidRPr="00C34D75" w:rsidRDefault="00CA7C0A" w:rsidP="006925B4">
      <w:pPr>
        <w:ind w:left="432"/>
        <w:rPr>
          <w:rFonts w:ascii="Arial" w:hAnsi="Arial" w:cs="Arial"/>
          <w:sz w:val="20"/>
        </w:rPr>
      </w:pPr>
      <w:r w:rsidRPr="00C34D75">
        <w:rPr>
          <w:rFonts w:ascii="Arial" w:hAnsi="Arial" w:cs="Arial"/>
          <w:sz w:val="20"/>
        </w:rPr>
        <w:t>Effective for dates prior to 8/6</w:t>
      </w:r>
      <w:r w:rsidR="004639AD" w:rsidRPr="00C34D75">
        <w:rPr>
          <w:rFonts w:ascii="Arial" w:hAnsi="Arial" w:cs="Arial"/>
          <w:sz w:val="20"/>
        </w:rPr>
        <w:t xml:space="preserve">/2024, </w:t>
      </w:r>
    </w:p>
    <w:p w14:paraId="011524C7" w14:textId="77777777" w:rsidR="00466FC6" w:rsidRPr="00C34D75" w:rsidRDefault="00DF3618" w:rsidP="006925B4">
      <w:pPr>
        <w:ind w:left="432"/>
        <w:rPr>
          <w:rFonts w:ascii="Arial" w:hAnsi="Arial" w:cs="Arial"/>
          <w:sz w:val="20"/>
        </w:rPr>
      </w:pPr>
      <w:r w:rsidRPr="00C34D75">
        <w:rPr>
          <w:rFonts w:ascii="Arial" w:hAnsi="Arial" w:cs="Arial"/>
          <w:sz w:val="20"/>
        </w:rPr>
        <w:t xml:space="preserve">Synchronous Condensing Credit = </w:t>
      </w:r>
      <w:r w:rsidR="003D442C" w:rsidRPr="00C34D75">
        <w:rPr>
          <w:rFonts w:ascii="Arial" w:hAnsi="Arial" w:cs="Arial"/>
          <w:sz w:val="20"/>
        </w:rPr>
        <w:t>[</w:t>
      </w:r>
      <w:r w:rsidRPr="00C34D75">
        <w:rPr>
          <w:rFonts w:ascii="Arial" w:hAnsi="Arial" w:cs="Arial"/>
          <w:sz w:val="20"/>
        </w:rPr>
        <w:t xml:space="preserve">(Condensing Duration * Energy Use </w:t>
      </w:r>
      <w:r w:rsidR="00406DCA" w:rsidRPr="00C34D75">
        <w:rPr>
          <w:rFonts w:ascii="Arial" w:hAnsi="Arial" w:cs="Arial"/>
          <w:sz w:val="20"/>
        </w:rPr>
        <w:t>* RT Generator LMP)</w:t>
      </w:r>
      <w:r w:rsidR="003D442C" w:rsidRPr="00C34D75">
        <w:rPr>
          <w:rFonts w:ascii="Arial" w:hAnsi="Arial" w:cs="Arial"/>
          <w:sz w:val="20"/>
        </w:rPr>
        <w:t xml:space="preserve"> </w:t>
      </w:r>
      <w:r w:rsidRPr="00C34D75">
        <w:rPr>
          <w:rFonts w:ascii="Arial" w:hAnsi="Arial" w:cs="Arial"/>
          <w:sz w:val="20"/>
        </w:rPr>
        <w:t xml:space="preserve">+ (Condensing Duration </w:t>
      </w:r>
      <w:r w:rsidR="003D442C" w:rsidRPr="00C34D75">
        <w:rPr>
          <w:rFonts w:ascii="Arial" w:hAnsi="Arial" w:cs="Arial"/>
          <w:sz w:val="20"/>
        </w:rPr>
        <w:t>* Condensing Offer)</w:t>
      </w:r>
      <w:r w:rsidR="00406DCA" w:rsidRPr="00C34D75">
        <w:rPr>
          <w:rFonts w:ascii="Arial" w:hAnsi="Arial" w:cs="Arial"/>
          <w:sz w:val="20"/>
        </w:rPr>
        <w:t xml:space="preserve"> + Condensing Start Up Cost]/12</w:t>
      </w:r>
    </w:p>
    <w:p w14:paraId="233096C6" w14:textId="77777777" w:rsidR="003D442C" w:rsidRPr="00C34D75" w:rsidRDefault="003D442C" w:rsidP="006925B4">
      <w:pPr>
        <w:ind w:left="432"/>
        <w:rPr>
          <w:rFonts w:ascii="Arial" w:hAnsi="Arial" w:cs="Arial"/>
          <w:sz w:val="20"/>
        </w:rPr>
      </w:pPr>
    </w:p>
    <w:p w14:paraId="1A14F16A" w14:textId="77777777" w:rsidR="003D442C" w:rsidRPr="00C34D75" w:rsidRDefault="003D442C" w:rsidP="003D442C">
      <w:pPr>
        <w:ind w:left="432"/>
        <w:rPr>
          <w:rFonts w:ascii="Arial" w:hAnsi="Arial" w:cs="Arial"/>
          <w:sz w:val="20"/>
        </w:rPr>
      </w:pPr>
      <w:r w:rsidRPr="00C34D75">
        <w:rPr>
          <w:rFonts w:ascii="Arial" w:hAnsi="Arial" w:cs="Arial"/>
          <w:sz w:val="20"/>
        </w:rPr>
        <w:t>(2377.18) = [((2377.13) * (2377.15) * (3000.25)) + ((2377.13) * (2377.14)) + (2377.17)</w:t>
      </w:r>
      <w:r w:rsidR="00406DCA" w:rsidRPr="00C34D75">
        <w:rPr>
          <w:rFonts w:ascii="Arial" w:hAnsi="Arial" w:cs="Arial"/>
          <w:sz w:val="20"/>
        </w:rPr>
        <w:t>]/12</w:t>
      </w:r>
    </w:p>
    <w:p w14:paraId="307E396D" w14:textId="77777777" w:rsidR="004639AD" w:rsidRPr="00C34D75" w:rsidRDefault="004639AD" w:rsidP="003D442C">
      <w:pPr>
        <w:ind w:left="432"/>
        <w:rPr>
          <w:rFonts w:ascii="Arial" w:hAnsi="Arial" w:cs="Arial"/>
          <w:sz w:val="20"/>
        </w:rPr>
      </w:pPr>
    </w:p>
    <w:p w14:paraId="756DD87C" w14:textId="77777777" w:rsidR="004639AD" w:rsidRPr="00C34D75" w:rsidRDefault="004639AD" w:rsidP="003D442C">
      <w:pPr>
        <w:ind w:left="432"/>
        <w:rPr>
          <w:rFonts w:ascii="Arial" w:hAnsi="Arial" w:cs="Arial"/>
          <w:sz w:val="20"/>
        </w:rPr>
      </w:pPr>
      <w:r w:rsidRPr="00C34D75">
        <w:rPr>
          <w:rFonts w:ascii="Arial" w:hAnsi="Arial" w:cs="Arial"/>
          <w:sz w:val="20"/>
        </w:rPr>
        <w:t>Effective</w:t>
      </w:r>
      <w:r w:rsidR="00CA7C0A" w:rsidRPr="00C34D75">
        <w:rPr>
          <w:rFonts w:ascii="Arial" w:hAnsi="Arial" w:cs="Arial"/>
          <w:sz w:val="20"/>
        </w:rPr>
        <w:t xml:space="preserve"> for dates after </w:t>
      </w:r>
      <w:r w:rsidRPr="00C34D75">
        <w:rPr>
          <w:rFonts w:ascii="Arial" w:hAnsi="Arial" w:cs="Arial"/>
          <w:sz w:val="20"/>
        </w:rPr>
        <w:t>8/</w:t>
      </w:r>
      <w:r w:rsidR="00CA7C0A" w:rsidRPr="00C34D75">
        <w:rPr>
          <w:rFonts w:ascii="Arial" w:hAnsi="Arial" w:cs="Arial"/>
          <w:sz w:val="20"/>
        </w:rPr>
        <w:t>6</w:t>
      </w:r>
      <w:r w:rsidRPr="00C34D75">
        <w:rPr>
          <w:rFonts w:ascii="Arial" w:hAnsi="Arial" w:cs="Arial"/>
          <w:sz w:val="20"/>
        </w:rPr>
        <w:t>/2024</w:t>
      </w:r>
      <w:r w:rsidR="00CA7C0A" w:rsidRPr="00C34D75">
        <w:rPr>
          <w:rFonts w:ascii="Arial" w:hAnsi="Arial" w:cs="Arial"/>
          <w:sz w:val="20"/>
        </w:rPr>
        <w:t xml:space="preserve"> (Docket No. ER24-2203-000)</w:t>
      </w:r>
      <w:r w:rsidRPr="00C34D75">
        <w:rPr>
          <w:rFonts w:ascii="Arial" w:hAnsi="Arial" w:cs="Arial"/>
          <w:sz w:val="20"/>
        </w:rPr>
        <w:t xml:space="preserve">, </w:t>
      </w:r>
    </w:p>
    <w:p w14:paraId="1216F2FD" w14:textId="77777777" w:rsidR="004639AD" w:rsidRPr="00C34D75" w:rsidRDefault="004639AD" w:rsidP="004639AD">
      <w:pPr>
        <w:ind w:left="432"/>
        <w:rPr>
          <w:rFonts w:ascii="Arial" w:hAnsi="Arial" w:cs="Arial"/>
          <w:sz w:val="20"/>
        </w:rPr>
      </w:pPr>
      <w:r w:rsidRPr="00C34D75">
        <w:rPr>
          <w:rFonts w:ascii="Arial" w:hAnsi="Arial" w:cs="Arial"/>
          <w:sz w:val="20"/>
        </w:rPr>
        <w:t>Synchronous Condensing Credit = [(Condensing Duration * Energy Use * RT Generator LMP) + Condensing Start Up Cost]/12</w:t>
      </w:r>
    </w:p>
    <w:p w14:paraId="15749F5E" w14:textId="77777777" w:rsidR="004639AD" w:rsidRPr="00C34D75" w:rsidRDefault="004639AD" w:rsidP="004639AD">
      <w:pPr>
        <w:ind w:left="432"/>
        <w:rPr>
          <w:rFonts w:ascii="Arial" w:hAnsi="Arial" w:cs="Arial"/>
          <w:sz w:val="20"/>
        </w:rPr>
      </w:pPr>
    </w:p>
    <w:p w14:paraId="36128941" w14:textId="77777777" w:rsidR="004639AD" w:rsidRPr="006925B4" w:rsidRDefault="004639AD" w:rsidP="004639AD">
      <w:pPr>
        <w:ind w:left="432"/>
        <w:rPr>
          <w:rFonts w:ascii="Arial" w:hAnsi="Arial" w:cs="Arial"/>
          <w:sz w:val="20"/>
        </w:rPr>
      </w:pPr>
      <w:r w:rsidRPr="00C34D75">
        <w:rPr>
          <w:rFonts w:ascii="Arial" w:hAnsi="Arial" w:cs="Arial"/>
          <w:sz w:val="20"/>
        </w:rPr>
        <w:t>(2377.18) = [((2377.13) * (2377.15) * (3000.25)) +</w:t>
      </w:r>
      <w:r w:rsidR="00CA7C0A" w:rsidRPr="00C34D75">
        <w:rPr>
          <w:rFonts w:ascii="Arial" w:hAnsi="Arial" w:cs="Arial"/>
          <w:sz w:val="20"/>
        </w:rPr>
        <w:t xml:space="preserve"> </w:t>
      </w:r>
      <w:r w:rsidRPr="00C34D75">
        <w:rPr>
          <w:rFonts w:ascii="Arial" w:hAnsi="Arial" w:cs="Arial"/>
          <w:sz w:val="20"/>
        </w:rPr>
        <w:t>(2377.17)]/12</w:t>
      </w:r>
    </w:p>
    <w:p w14:paraId="00284D9F" w14:textId="77777777" w:rsidR="004639AD" w:rsidRPr="006925B4" w:rsidRDefault="004639AD" w:rsidP="003D442C">
      <w:pPr>
        <w:ind w:left="432"/>
        <w:rPr>
          <w:rFonts w:ascii="Arial" w:hAnsi="Arial" w:cs="Arial"/>
          <w:sz w:val="20"/>
        </w:rPr>
      </w:pPr>
    </w:p>
    <w:p w14:paraId="2536796C" w14:textId="77777777" w:rsidR="006925B4" w:rsidRDefault="006925B4" w:rsidP="006925B4">
      <w:pPr>
        <w:ind w:left="432"/>
        <w:rPr>
          <w:rFonts w:ascii="Arial" w:hAnsi="Arial" w:cs="Arial"/>
          <w:sz w:val="20"/>
        </w:rPr>
      </w:pPr>
    </w:p>
    <w:p w14:paraId="35DCE19A" w14:textId="77777777" w:rsidR="00180FBF" w:rsidRDefault="00180FBF" w:rsidP="00180FBF">
      <w:pPr>
        <w:ind w:left="432"/>
        <w:rPr>
          <w:rFonts w:ascii="Arial" w:hAnsi="Arial" w:cs="Arial"/>
          <w:sz w:val="20"/>
        </w:rPr>
      </w:pPr>
      <w:r w:rsidRPr="006925B4">
        <w:rPr>
          <w:rFonts w:ascii="Arial" w:hAnsi="Arial" w:cs="Arial"/>
          <w:sz w:val="20"/>
        </w:rPr>
        <w:lastRenderedPageBreak/>
        <w:t>Synchronous Condensing Lo</w:t>
      </w:r>
      <w:r w:rsidR="00070B9C">
        <w:rPr>
          <w:rFonts w:ascii="Arial" w:hAnsi="Arial" w:cs="Arial"/>
          <w:sz w:val="20"/>
        </w:rPr>
        <w:t>st Opportunity Cost Credit =</w:t>
      </w:r>
      <w:r w:rsidR="00CE6968">
        <w:rPr>
          <w:rFonts w:ascii="Arial" w:hAnsi="Arial" w:cs="Arial"/>
          <w:sz w:val="20"/>
        </w:rPr>
        <w:t xml:space="preserve"> (</w:t>
      </w:r>
      <w:r w:rsidRPr="006925B4">
        <w:rPr>
          <w:rFonts w:ascii="Arial" w:hAnsi="Arial" w:cs="Arial"/>
          <w:sz w:val="20"/>
        </w:rPr>
        <w:t>MAX</w:t>
      </w:r>
      <w:r w:rsidR="00CE6968">
        <w:rPr>
          <w:rFonts w:ascii="Arial" w:hAnsi="Arial" w:cs="Arial"/>
          <w:sz w:val="20"/>
        </w:rPr>
        <w:t xml:space="preserve"> (</w:t>
      </w:r>
      <w:r w:rsidRPr="006925B4">
        <w:rPr>
          <w:rFonts w:ascii="Arial" w:hAnsi="Arial" w:cs="Arial"/>
          <w:sz w:val="20"/>
        </w:rPr>
        <w:t>Economic Max - MAX(RT Generation MWh</w:t>
      </w:r>
      <w:r w:rsidR="003D442C">
        <w:rPr>
          <w:rFonts w:ascii="Arial" w:hAnsi="Arial" w:cs="Arial"/>
          <w:sz w:val="20"/>
        </w:rPr>
        <w:t>,</w:t>
      </w:r>
      <w:r w:rsidRPr="006925B4">
        <w:rPr>
          <w:rFonts w:ascii="Arial" w:hAnsi="Arial" w:cs="Arial"/>
          <w:sz w:val="20"/>
        </w:rPr>
        <w:t xml:space="preserve"> 0), 0)) * (MAX</w:t>
      </w:r>
      <w:r w:rsidR="003D442C">
        <w:rPr>
          <w:rFonts w:ascii="Arial" w:hAnsi="Arial" w:cs="Arial"/>
          <w:sz w:val="20"/>
        </w:rPr>
        <w:t>[</w:t>
      </w:r>
      <w:r w:rsidRPr="006925B4">
        <w:rPr>
          <w:rFonts w:ascii="Arial" w:hAnsi="Arial" w:cs="Arial"/>
          <w:sz w:val="20"/>
        </w:rPr>
        <w:t>(RT Generator LMP</w:t>
      </w:r>
      <w:r w:rsidR="003D442C">
        <w:rPr>
          <w:rFonts w:ascii="Arial" w:hAnsi="Arial" w:cs="Arial"/>
          <w:sz w:val="20"/>
        </w:rPr>
        <w:t>/12</w:t>
      </w:r>
      <w:r w:rsidRPr="006925B4">
        <w:rPr>
          <w:rFonts w:ascii="Arial" w:hAnsi="Arial" w:cs="Arial"/>
          <w:sz w:val="20"/>
        </w:rPr>
        <w:t xml:space="preserve"> - Offer at RT LMP Desired MWh</w:t>
      </w:r>
      <w:r w:rsidR="00070B9C">
        <w:rPr>
          <w:rFonts w:ascii="Arial" w:hAnsi="Arial" w:cs="Arial"/>
          <w:sz w:val="20"/>
        </w:rPr>
        <w:t>/12</w:t>
      </w:r>
      <w:r w:rsidR="003D442C">
        <w:rPr>
          <w:rFonts w:ascii="Arial" w:hAnsi="Arial" w:cs="Arial"/>
          <w:sz w:val="20"/>
        </w:rPr>
        <w:t>,</w:t>
      </w:r>
      <w:r w:rsidR="00070B9C">
        <w:rPr>
          <w:rFonts w:ascii="Arial" w:hAnsi="Arial" w:cs="Arial"/>
          <w:sz w:val="20"/>
        </w:rPr>
        <w:t>0]</w:t>
      </w:r>
      <w:r w:rsidRPr="006925B4">
        <w:rPr>
          <w:rFonts w:ascii="Arial" w:hAnsi="Arial" w:cs="Arial"/>
          <w:sz w:val="20"/>
        </w:rPr>
        <w:t>)</w:t>
      </w:r>
    </w:p>
    <w:p w14:paraId="75C7B01A" w14:textId="77777777" w:rsidR="003D442C" w:rsidRDefault="003D442C" w:rsidP="00180FBF">
      <w:pPr>
        <w:ind w:left="432"/>
        <w:rPr>
          <w:rFonts w:ascii="Arial" w:hAnsi="Arial" w:cs="Arial"/>
          <w:sz w:val="20"/>
        </w:rPr>
      </w:pPr>
    </w:p>
    <w:p w14:paraId="08BBC983" w14:textId="77777777" w:rsidR="003D442C" w:rsidRPr="006925B4" w:rsidRDefault="00070B9C" w:rsidP="003D442C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(2377.19) =</w:t>
      </w:r>
      <w:r w:rsidR="00CE6968">
        <w:rPr>
          <w:rFonts w:ascii="Arial" w:hAnsi="Arial" w:cs="Arial"/>
          <w:sz w:val="20"/>
        </w:rPr>
        <w:t xml:space="preserve"> (MAX (</w:t>
      </w:r>
      <w:r w:rsidR="003D442C" w:rsidRPr="006925B4">
        <w:rPr>
          <w:rFonts w:ascii="Arial" w:hAnsi="Arial" w:cs="Arial"/>
          <w:sz w:val="20"/>
        </w:rPr>
        <w:t xml:space="preserve">(3000.98) - </w:t>
      </w:r>
      <w:r w:rsidR="00CE6968" w:rsidRPr="006925B4">
        <w:rPr>
          <w:rFonts w:ascii="Arial" w:hAnsi="Arial" w:cs="Arial"/>
          <w:sz w:val="20"/>
        </w:rPr>
        <w:t>MAX (</w:t>
      </w:r>
      <w:r w:rsidR="003D442C" w:rsidRPr="006925B4">
        <w:rPr>
          <w:rFonts w:ascii="Arial" w:hAnsi="Arial" w:cs="Arial"/>
          <w:sz w:val="20"/>
        </w:rPr>
        <w:t>(3000.33), 0), 0)) * (MAX</w:t>
      </w:r>
      <w:r w:rsidR="00CE6968">
        <w:rPr>
          <w:rFonts w:ascii="Arial" w:hAnsi="Arial" w:cs="Arial"/>
          <w:sz w:val="20"/>
        </w:rPr>
        <w:t xml:space="preserve"> </w:t>
      </w:r>
      <w:r w:rsidR="003D442C">
        <w:rPr>
          <w:rFonts w:ascii="Arial" w:hAnsi="Arial" w:cs="Arial"/>
          <w:sz w:val="20"/>
        </w:rPr>
        <w:t>[</w:t>
      </w:r>
      <w:r w:rsidR="003D442C" w:rsidRPr="006925B4">
        <w:rPr>
          <w:rFonts w:ascii="Arial" w:hAnsi="Arial" w:cs="Arial"/>
          <w:sz w:val="20"/>
        </w:rPr>
        <w:t>(3000.25)</w:t>
      </w:r>
      <w:r w:rsidR="003D442C">
        <w:rPr>
          <w:rFonts w:ascii="Arial" w:hAnsi="Arial" w:cs="Arial"/>
          <w:sz w:val="20"/>
        </w:rPr>
        <w:t>/12</w:t>
      </w:r>
      <w:r w:rsidR="003D442C" w:rsidRPr="006925B4">
        <w:rPr>
          <w:rFonts w:ascii="Arial" w:hAnsi="Arial" w:cs="Arial"/>
          <w:sz w:val="20"/>
        </w:rPr>
        <w:t xml:space="preserve"> - (2377.16)</w:t>
      </w:r>
      <w:r>
        <w:rPr>
          <w:rFonts w:ascii="Arial" w:hAnsi="Arial" w:cs="Arial"/>
          <w:sz w:val="20"/>
        </w:rPr>
        <w:t>/12,0]</w:t>
      </w:r>
      <w:r w:rsidR="003D442C" w:rsidRPr="006925B4">
        <w:rPr>
          <w:rFonts w:ascii="Arial" w:hAnsi="Arial" w:cs="Arial"/>
          <w:sz w:val="20"/>
        </w:rPr>
        <w:t>)</w:t>
      </w:r>
    </w:p>
    <w:p w14:paraId="272E6801" w14:textId="77777777" w:rsidR="00180FBF" w:rsidRDefault="00180FBF" w:rsidP="006925B4">
      <w:pPr>
        <w:ind w:left="432"/>
        <w:rPr>
          <w:rFonts w:ascii="Arial" w:hAnsi="Arial" w:cs="Arial"/>
          <w:sz w:val="20"/>
        </w:rPr>
      </w:pPr>
    </w:p>
    <w:p w14:paraId="3A58B7CB" w14:textId="77777777" w:rsidR="00DF3618" w:rsidRDefault="00DF3618" w:rsidP="006925B4">
      <w:pPr>
        <w:ind w:left="432"/>
        <w:rPr>
          <w:rFonts w:ascii="Arial" w:hAnsi="Arial" w:cs="Arial"/>
          <w:sz w:val="20"/>
        </w:rPr>
      </w:pPr>
      <w:r w:rsidRPr="006925B4">
        <w:rPr>
          <w:rFonts w:ascii="Arial" w:hAnsi="Arial" w:cs="Arial"/>
          <w:sz w:val="20"/>
        </w:rPr>
        <w:t>Reactive Services Cond</w:t>
      </w:r>
      <w:r w:rsidR="003D442C">
        <w:rPr>
          <w:rFonts w:ascii="Arial" w:hAnsi="Arial" w:cs="Arial"/>
          <w:sz w:val="20"/>
        </w:rPr>
        <w:t xml:space="preserve">ensing Credit </w:t>
      </w:r>
      <w:r w:rsidRPr="006925B4">
        <w:rPr>
          <w:rFonts w:ascii="Arial" w:hAnsi="Arial" w:cs="Arial"/>
          <w:sz w:val="20"/>
        </w:rPr>
        <w:t xml:space="preserve">= </w:t>
      </w:r>
      <w:r w:rsidR="00180FBF">
        <w:rPr>
          <w:rFonts w:ascii="Arial" w:hAnsi="Arial" w:cs="Arial"/>
          <w:sz w:val="20"/>
        </w:rPr>
        <w:t xml:space="preserve">IF (Synchronous Condensing Credit + Synchronous Condensing Lost Opportunity Cost Credit &gt; </w:t>
      </w:r>
      <w:r w:rsidR="003D442C">
        <w:rPr>
          <w:rFonts w:ascii="Arial" w:hAnsi="Arial" w:cs="Arial"/>
          <w:sz w:val="20"/>
        </w:rPr>
        <w:t xml:space="preserve">[Economic Max * SRMCP </w:t>
      </w:r>
      <w:r w:rsidR="00180FBF">
        <w:rPr>
          <w:rFonts w:ascii="Arial" w:hAnsi="Arial" w:cs="Arial"/>
          <w:sz w:val="20"/>
        </w:rPr>
        <w:t>* Condensing Duration</w:t>
      </w:r>
      <w:r w:rsidR="003D442C">
        <w:rPr>
          <w:rFonts w:ascii="Arial" w:hAnsi="Arial" w:cs="Arial"/>
          <w:sz w:val="20"/>
        </w:rPr>
        <w:t>] / 12</w:t>
      </w:r>
      <w:r w:rsidR="00180FBF">
        <w:rPr>
          <w:rFonts w:ascii="Arial" w:hAnsi="Arial" w:cs="Arial"/>
          <w:sz w:val="20"/>
        </w:rPr>
        <w:t xml:space="preserve"> THEN Synchronous Condensing Credit ELSE </w:t>
      </w:r>
      <w:r w:rsidR="003D442C">
        <w:rPr>
          <w:rFonts w:ascii="Arial" w:hAnsi="Arial" w:cs="Arial"/>
          <w:sz w:val="20"/>
        </w:rPr>
        <w:t>[</w:t>
      </w:r>
      <w:r w:rsidR="00180FBF">
        <w:rPr>
          <w:rFonts w:ascii="Arial" w:hAnsi="Arial" w:cs="Arial"/>
          <w:sz w:val="20"/>
        </w:rPr>
        <w:t xml:space="preserve">Economic Max </w:t>
      </w:r>
      <w:r w:rsidR="003D442C">
        <w:rPr>
          <w:rFonts w:ascii="Arial" w:hAnsi="Arial" w:cs="Arial"/>
          <w:sz w:val="20"/>
        </w:rPr>
        <w:t>* SRMCP * Condensing Duration] / 12)</w:t>
      </w:r>
    </w:p>
    <w:p w14:paraId="788FC0E2" w14:textId="77777777" w:rsidR="003D442C" w:rsidRDefault="003D442C" w:rsidP="006925B4">
      <w:pPr>
        <w:ind w:left="432"/>
        <w:rPr>
          <w:rFonts w:ascii="Arial" w:hAnsi="Arial" w:cs="Arial"/>
          <w:sz w:val="20"/>
        </w:rPr>
      </w:pPr>
    </w:p>
    <w:p w14:paraId="3DE78BA6" w14:textId="77777777" w:rsidR="003D442C" w:rsidRPr="006925B4" w:rsidRDefault="003D442C" w:rsidP="003D442C">
      <w:pPr>
        <w:ind w:left="432"/>
        <w:rPr>
          <w:rFonts w:ascii="Arial" w:hAnsi="Arial" w:cs="Arial"/>
          <w:sz w:val="20"/>
        </w:rPr>
      </w:pPr>
      <w:r w:rsidRPr="006925B4">
        <w:rPr>
          <w:rFonts w:ascii="Arial" w:hAnsi="Arial" w:cs="Arial"/>
          <w:sz w:val="20"/>
        </w:rPr>
        <w:t xml:space="preserve">(2378.18) = </w:t>
      </w:r>
      <w:r>
        <w:rPr>
          <w:rFonts w:ascii="Arial" w:hAnsi="Arial" w:cs="Arial"/>
          <w:sz w:val="20"/>
        </w:rPr>
        <w:t>IF ((2377.18) + (2377.19) &gt; [(3000.98) * (3000.61) * (2377.13)] / 12 THEN (2377.18) ELSE [(3000.98) * (3000.61) * (2377.13)] / 12)</w:t>
      </w:r>
    </w:p>
    <w:p w14:paraId="76E5285B" w14:textId="77777777" w:rsidR="006925B4" w:rsidRDefault="006925B4" w:rsidP="006925B4">
      <w:pPr>
        <w:ind w:left="432"/>
        <w:rPr>
          <w:rFonts w:ascii="Arial" w:hAnsi="Arial" w:cs="Arial"/>
          <w:sz w:val="20"/>
        </w:rPr>
      </w:pPr>
    </w:p>
    <w:p w14:paraId="504A2F15" w14:textId="77777777" w:rsidR="009D67D4" w:rsidRDefault="009D67D4" w:rsidP="006925B4">
      <w:pPr>
        <w:ind w:left="432"/>
        <w:rPr>
          <w:rFonts w:ascii="Arial" w:hAnsi="Arial" w:cs="Arial"/>
          <w:sz w:val="20"/>
        </w:rPr>
      </w:pPr>
      <w:r w:rsidRPr="006925B4">
        <w:rPr>
          <w:rFonts w:ascii="Arial" w:hAnsi="Arial" w:cs="Arial"/>
          <w:sz w:val="20"/>
        </w:rPr>
        <w:t xml:space="preserve">Reactive Services Condensing Lost Opportunity Cost Credit = </w:t>
      </w:r>
      <w:r w:rsidR="00180FBF">
        <w:rPr>
          <w:rFonts w:ascii="Arial" w:hAnsi="Arial" w:cs="Arial"/>
          <w:sz w:val="20"/>
        </w:rPr>
        <w:t xml:space="preserve">IF Synchronous Condensing Credit + Synchronous Condensing Lost Opportunity Cost Credit &gt; </w:t>
      </w:r>
      <w:r w:rsidR="00E26200">
        <w:rPr>
          <w:rFonts w:ascii="Arial" w:hAnsi="Arial" w:cs="Arial"/>
          <w:sz w:val="20"/>
        </w:rPr>
        <w:t>[</w:t>
      </w:r>
      <w:r w:rsidR="00180FBF">
        <w:rPr>
          <w:rFonts w:ascii="Arial" w:hAnsi="Arial" w:cs="Arial"/>
          <w:sz w:val="20"/>
        </w:rPr>
        <w:t>Economic Max * SRMCP * Condensing Duration</w:t>
      </w:r>
      <w:r w:rsidR="00E26200">
        <w:rPr>
          <w:rFonts w:ascii="Arial" w:hAnsi="Arial" w:cs="Arial"/>
          <w:sz w:val="20"/>
        </w:rPr>
        <w:t xml:space="preserve">] / 12 </w:t>
      </w:r>
      <w:r w:rsidR="00180FBF">
        <w:rPr>
          <w:rFonts w:ascii="Arial" w:hAnsi="Arial" w:cs="Arial"/>
          <w:sz w:val="20"/>
        </w:rPr>
        <w:t>THEN Synchronous Condensing Lost Opportunity Cost Credit ELSE 0</w:t>
      </w:r>
    </w:p>
    <w:p w14:paraId="48FD1491" w14:textId="77777777" w:rsidR="00E26200" w:rsidRDefault="00E26200" w:rsidP="006925B4">
      <w:pPr>
        <w:ind w:left="432"/>
        <w:rPr>
          <w:rFonts w:ascii="Arial" w:hAnsi="Arial" w:cs="Arial"/>
          <w:sz w:val="20"/>
        </w:rPr>
      </w:pPr>
    </w:p>
    <w:p w14:paraId="300AD3A5" w14:textId="77777777" w:rsidR="00E26200" w:rsidRPr="006925B4" w:rsidRDefault="00E26200" w:rsidP="00E26200">
      <w:pPr>
        <w:ind w:left="432"/>
        <w:rPr>
          <w:rFonts w:ascii="Arial" w:hAnsi="Arial" w:cs="Arial"/>
          <w:sz w:val="20"/>
        </w:rPr>
      </w:pPr>
      <w:r w:rsidRPr="006925B4">
        <w:rPr>
          <w:rFonts w:ascii="Arial" w:hAnsi="Arial" w:cs="Arial"/>
          <w:sz w:val="20"/>
        </w:rPr>
        <w:t xml:space="preserve">(2378.19) = </w:t>
      </w:r>
      <w:r>
        <w:rPr>
          <w:rFonts w:ascii="Arial" w:hAnsi="Arial" w:cs="Arial"/>
          <w:sz w:val="20"/>
        </w:rPr>
        <w:t xml:space="preserve">IF (2377.18) + Credit (2377.19) &gt; </w:t>
      </w:r>
      <w:r w:rsidR="00CE6968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>(3000.98) * (3000.61) * (2377.13)</w:t>
      </w:r>
      <w:r w:rsidR="00CE6968">
        <w:rPr>
          <w:rFonts w:ascii="Arial" w:hAnsi="Arial" w:cs="Arial"/>
          <w:sz w:val="20"/>
        </w:rPr>
        <w:t>] / 12</w:t>
      </w:r>
      <w:r>
        <w:rPr>
          <w:rFonts w:ascii="Arial" w:hAnsi="Arial" w:cs="Arial"/>
          <w:sz w:val="20"/>
        </w:rPr>
        <w:t xml:space="preserve"> THEN (2377.19) ELSE 0</w:t>
      </w:r>
    </w:p>
    <w:p w14:paraId="2A663A08" w14:textId="77777777" w:rsidR="00E26200" w:rsidRPr="006925B4" w:rsidRDefault="00E26200" w:rsidP="006925B4">
      <w:pPr>
        <w:ind w:left="432"/>
        <w:rPr>
          <w:rFonts w:ascii="Arial" w:hAnsi="Arial" w:cs="Arial"/>
          <w:sz w:val="20"/>
        </w:rPr>
      </w:pPr>
    </w:p>
    <w:sectPr w:rsidR="00E26200" w:rsidRPr="006925B4" w:rsidSect="00205E39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62F9" w14:textId="77777777" w:rsidR="00900F73" w:rsidRDefault="00900F73">
      <w:r>
        <w:separator/>
      </w:r>
    </w:p>
  </w:endnote>
  <w:endnote w:type="continuationSeparator" w:id="0">
    <w:p w14:paraId="5A6CE8B5" w14:textId="77777777" w:rsidR="00900F73" w:rsidRDefault="0090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5AC5" w14:textId="77777777" w:rsidR="007D38FD" w:rsidRDefault="007D38FD">
    <w:pPr>
      <w:pStyle w:val="Footer"/>
      <w:jc w:val="center"/>
      <w:rPr>
        <w:rStyle w:val="PageNumber"/>
      </w:rPr>
    </w:pPr>
  </w:p>
  <w:p w14:paraId="63942BB4" w14:textId="5B745D78" w:rsidR="007D38FD" w:rsidRDefault="00180FBF" w:rsidP="00930966">
    <w:pPr>
      <w:pStyle w:val="Footer"/>
    </w:pPr>
    <w:r>
      <w:rPr>
        <w:rFonts w:ascii="Arial" w:hAnsi="Arial"/>
        <w:sz w:val="20"/>
        <w:szCs w:val="20"/>
      </w:rPr>
      <w:t>PJM ©20</w:t>
    </w:r>
    <w:r w:rsidR="00C34D75">
      <w:rPr>
        <w:rFonts w:ascii="Arial" w:hAnsi="Arial"/>
        <w:sz w:val="20"/>
        <w:szCs w:val="20"/>
      </w:rPr>
      <w:t>24</w:t>
    </w:r>
    <w:r w:rsidR="007D38FD">
      <w:tab/>
    </w:r>
    <w:r w:rsidR="007D38FD">
      <w:tab/>
    </w:r>
    <w:r w:rsidR="007D38FD">
      <w:tab/>
    </w:r>
    <w:r w:rsidR="007D38FD">
      <w:tab/>
    </w:r>
    <w:r w:rsidR="007D38FD">
      <w:tab/>
    </w:r>
    <w:r w:rsidR="007D38FD">
      <w:tab/>
    </w:r>
    <w:r w:rsidR="007D38FD" w:rsidRPr="00C6217F">
      <w:rPr>
        <w:rStyle w:val="PageNumber"/>
        <w:rFonts w:ascii="Arial" w:hAnsi="Arial"/>
        <w:sz w:val="20"/>
        <w:szCs w:val="20"/>
      </w:rPr>
      <w:t xml:space="preserve"> Page </w:t>
    </w:r>
    <w:r w:rsidR="007D38FD" w:rsidRPr="00C6217F">
      <w:rPr>
        <w:rStyle w:val="PageNumber"/>
        <w:rFonts w:ascii="Arial" w:hAnsi="Arial"/>
        <w:sz w:val="20"/>
        <w:szCs w:val="20"/>
      </w:rPr>
      <w:fldChar w:fldCharType="begin"/>
    </w:r>
    <w:r w:rsidR="007D38FD" w:rsidRPr="00C6217F">
      <w:rPr>
        <w:rStyle w:val="PageNumber"/>
        <w:rFonts w:ascii="Arial" w:hAnsi="Arial"/>
        <w:sz w:val="20"/>
        <w:szCs w:val="20"/>
      </w:rPr>
      <w:instrText xml:space="preserve"> PAGE </w:instrText>
    </w:r>
    <w:r w:rsidR="007D38FD" w:rsidRPr="00C6217F">
      <w:rPr>
        <w:rStyle w:val="PageNumber"/>
        <w:rFonts w:ascii="Arial" w:hAnsi="Arial"/>
        <w:sz w:val="20"/>
        <w:szCs w:val="20"/>
      </w:rPr>
      <w:fldChar w:fldCharType="separate"/>
    </w:r>
    <w:r w:rsidR="009F66EC">
      <w:rPr>
        <w:rStyle w:val="PageNumber"/>
        <w:rFonts w:ascii="Arial" w:hAnsi="Arial"/>
        <w:noProof/>
        <w:sz w:val="20"/>
        <w:szCs w:val="20"/>
      </w:rPr>
      <w:t>2</w:t>
    </w:r>
    <w:r w:rsidR="007D38FD" w:rsidRPr="00C6217F">
      <w:rPr>
        <w:rStyle w:val="PageNumber"/>
        <w:rFonts w:ascii="Arial" w:hAnsi="Arial"/>
        <w:sz w:val="20"/>
        <w:szCs w:val="20"/>
      </w:rPr>
      <w:fldChar w:fldCharType="end"/>
    </w:r>
    <w:r w:rsidR="007D38FD" w:rsidRPr="00C6217F">
      <w:rPr>
        <w:rStyle w:val="PageNumber"/>
        <w:rFonts w:ascii="Arial" w:hAnsi="Arial"/>
        <w:sz w:val="20"/>
        <w:szCs w:val="20"/>
      </w:rPr>
      <w:t xml:space="preserve"> of </w:t>
    </w:r>
    <w:r w:rsidR="007D38FD" w:rsidRPr="00C6217F">
      <w:rPr>
        <w:rStyle w:val="PageNumber"/>
        <w:rFonts w:ascii="Arial" w:hAnsi="Arial"/>
        <w:sz w:val="20"/>
        <w:szCs w:val="20"/>
      </w:rPr>
      <w:fldChar w:fldCharType="begin"/>
    </w:r>
    <w:r w:rsidR="007D38FD" w:rsidRPr="00C6217F">
      <w:rPr>
        <w:rStyle w:val="PageNumber"/>
        <w:rFonts w:ascii="Arial" w:hAnsi="Arial"/>
        <w:sz w:val="20"/>
        <w:szCs w:val="20"/>
      </w:rPr>
      <w:instrText xml:space="preserve"> NUMPAGES </w:instrText>
    </w:r>
    <w:r w:rsidR="007D38FD" w:rsidRPr="00C6217F">
      <w:rPr>
        <w:rStyle w:val="PageNumber"/>
        <w:rFonts w:ascii="Arial" w:hAnsi="Arial"/>
        <w:sz w:val="20"/>
        <w:szCs w:val="20"/>
      </w:rPr>
      <w:fldChar w:fldCharType="separate"/>
    </w:r>
    <w:r w:rsidR="009F66EC">
      <w:rPr>
        <w:rStyle w:val="PageNumber"/>
        <w:rFonts w:ascii="Arial" w:hAnsi="Arial"/>
        <w:noProof/>
        <w:sz w:val="20"/>
        <w:szCs w:val="20"/>
      </w:rPr>
      <w:t>8</w:t>
    </w:r>
    <w:r w:rsidR="007D38FD" w:rsidRPr="00C6217F">
      <w:rPr>
        <w:rStyle w:val="PageNumber"/>
        <w:rFonts w:ascii="Arial" w:hAnsi="Arial"/>
        <w:sz w:val="20"/>
        <w:szCs w:val="20"/>
      </w:rPr>
      <w:fldChar w:fldCharType="end"/>
    </w:r>
    <w:r w:rsidR="007D38F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74787" w14:textId="089A0E7A" w:rsidR="007D38FD" w:rsidRPr="00C6217F" w:rsidRDefault="007D38FD">
    <w:pPr>
      <w:rPr>
        <w:rFonts w:ascii="Arial" w:hAnsi="Arial"/>
        <w:sz w:val="20"/>
        <w:szCs w:val="20"/>
      </w:rPr>
    </w:pPr>
    <w:r w:rsidRPr="00C6217F">
      <w:rPr>
        <w:rFonts w:ascii="Arial" w:hAnsi="Arial"/>
        <w:sz w:val="20"/>
        <w:szCs w:val="20"/>
      </w:rPr>
      <w:t>P</w:t>
    </w:r>
    <w:r w:rsidR="00165CB3">
      <w:rPr>
        <w:rFonts w:ascii="Arial" w:hAnsi="Arial"/>
        <w:sz w:val="20"/>
        <w:szCs w:val="20"/>
      </w:rPr>
      <w:t>JM ©20</w:t>
    </w:r>
    <w:r w:rsidR="00C34D75">
      <w:rPr>
        <w:rFonts w:ascii="Arial" w:hAnsi="Arial"/>
        <w:sz w:val="20"/>
        <w:szCs w:val="20"/>
      </w:rPr>
      <w:t>24</w:t>
    </w:r>
    <w:r w:rsidRPr="00C6217F">
      <w:rPr>
        <w:rFonts w:ascii="Arial" w:hAnsi="Arial"/>
        <w:sz w:val="20"/>
        <w:szCs w:val="20"/>
      </w:rPr>
      <w:tab/>
    </w:r>
    <w:r w:rsidRPr="00C6217F">
      <w:rPr>
        <w:rFonts w:ascii="Arial" w:hAnsi="Arial"/>
        <w:sz w:val="20"/>
        <w:szCs w:val="20"/>
      </w:rPr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205E39">
      <w:tab/>
    </w:r>
    <w:r w:rsidRPr="00C6217F">
      <w:rPr>
        <w:rStyle w:val="PageNumber"/>
        <w:rFonts w:ascii="Arial" w:hAnsi="Arial"/>
        <w:sz w:val="20"/>
        <w:szCs w:val="20"/>
      </w:rPr>
      <w:t xml:space="preserve"> Page </w:t>
    </w:r>
    <w:r w:rsidRPr="00C6217F">
      <w:rPr>
        <w:rStyle w:val="PageNumber"/>
        <w:rFonts w:ascii="Arial" w:hAnsi="Arial"/>
        <w:sz w:val="20"/>
        <w:szCs w:val="20"/>
      </w:rPr>
      <w:fldChar w:fldCharType="begin"/>
    </w:r>
    <w:r w:rsidRPr="00C6217F">
      <w:rPr>
        <w:rStyle w:val="PageNumber"/>
        <w:rFonts w:ascii="Arial" w:hAnsi="Arial"/>
        <w:sz w:val="20"/>
        <w:szCs w:val="20"/>
      </w:rPr>
      <w:instrText xml:space="preserve"> PAGE </w:instrText>
    </w:r>
    <w:r w:rsidRPr="00C6217F">
      <w:rPr>
        <w:rStyle w:val="PageNumber"/>
        <w:rFonts w:ascii="Arial" w:hAnsi="Arial"/>
        <w:sz w:val="20"/>
        <w:szCs w:val="20"/>
      </w:rPr>
      <w:fldChar w:fldCharType="separate"/>
    </w:r>
    <w:r w:rsidR="009F66EC">
      <w:rPr>
        <w:rStyle w:val="PageNumber"/>
        <w:rFonts w:ascii="Arial" w:hAnsi="Arial"/>
        <w:noProof/>
        <w:sz w:val="20"/>
        <w:szCs w:val="20"/>
      </w:rPr>
      <w:t>1</w:t>
    </w:r>
    <w:r w:rsidRPr="00C6217F">
      <w:rPr>
        <w:rStyle w:val="PageNumber"/>
        <w:rFonts w:ascii="Arial" w:hAnsi="Arial"/>
        <w:sz w:val="20"/>
        <w:szCs w:val="20"/>
      </w:rPr>
      <w:fldChar w:fldCharType="end"/>
    </w:r>
    <w:r w:rsidRPr="00C6217F">
      <w:rPr>
        <w:rStyle w:val="PageNumber"/>
        <w:rFonts w:ascii="Arial" w:hAnsi="Arial"/>
        <w:sz w:val="20"/>
        <w:szCs w:val="20"/>
      </w:rPr>
      <w:t xml:space="preserve"> of </w:t>
    </w:r>
    <w:r w:rsidRPr="00C6217F">
      <w:rPr>
        <w:rStyle w:val="PageNumber"/>
        <w:rFonts w:ascii="Arial" w:hAnsi="Arial"/>
        <w:sz w:val="20"/>
        <w:szCs w:val="20"/>
      </w:rPr>
      <w:fldChar w:fldCharType="begin"/>
    </w:r>
    <w:r w:rsidRPr="00C6217F">
      <w:rPr>
        <w:rStyle w:val="PageNumber"/>
        <w:rFonts w:ascii="Arial" w:hAnsi="Arial"/>
        <w:sz w:val="20"/>
        <w:szCs w:val="20"/>
      </w:rPr>
      <w:instrText xml:space="preserve"> NUMPAGES </w:instrText>
    </w:r>
    <w:r w:rsidRPr="00C6217F">
      <w:rPr>
        <w:rStyle w:val="PageNumber"/>
        <w:rFonts w:ascii="Arial" w:hAnsi="Arial"/>
        <w:sz w:val="20"/>
        <w:szCs w:val="20"/>
      </w:rPr>
      <w:fldChar w:fldCharType="separate"/>
    </w:r>
    <w:r w:rsidR="009F66EC">
      <w:rPr>
        <w:rStyle w:val="PageNumber"/>
        <w:rFonts w:ascii="Arial" w:hAnsi="Arial"/>
        <w:noProof/>
        <w:sz w:val="20"/>
        <w:szCs w:val="20"/>
      </w:rPr>
      <w:t>8</w:t>
    </w:r>
    <w:r w:rsidRPr="00C6217F"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A733" w14:textId="77777777" w:rsidR="00900F73" w:rsidRDefault="00900F73">
      <w:r>
        <w:separator/>
      </w:r>
    </w:p>
  </w:footnote>
  <w:footnote w:type="continuationSeparator" w:id="0">
    <w:p w14:paraId="0BEB9D2D" w14:textId="77777777" w:rsidR="00900F73" w:rsidRDefault="0090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7D38FD" w14:paraId="45CCB347" w14:textId="77777777">
      <w:tc>
        <w:tcPr>
          <w:tcW w:w="6948" w:type="dxa"/>
        </w:tcPr>
        <w:p w14:paraId="45C37F89" w14:textId="5C958D63" w:rsidR="007D38FD" w:rsidRPr="00CE71E5" w:rsidRDefault="00AE3822" w:rsidP="009B69D4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31C4B41" wp14:editId="54A517F9">
                <wp:extent cx="685165" cy="25844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7D38FD">
            <w:t xml:space="preserve">  </w:t>
          </w:r>
        </w:p>
      </w:tc>
      <w:tc>
        <w:tcPr>
          <w:tcW w:w="5940" w:type="dxa"/>
        </w:tcPr>
        <w:p w14:paraId="78007D1D" w14:textId="77777777" w:rsidR="007D38FD" w:rsidRDefault="007D38FD" w:rsidP="009B69D4">
          <w:pPr>
            <w:pStyle w:val="Header"/>
            <w:jc w:val="right"/>
          </w:pPr>
          <w:r w:rsidRPr="00CE71E5">
            <w:rPr>
              <w:rFonts w:ascii="Arial" w:hAnsi="Arial" w:cs="Arial"/>
            </w:rPr>
            <w:t>MSRS Report Format Documentation</w:t>
          </w:r>
        </w:p>
      </w:tc>
    </w:tr>
  </w:tbl>
  <w:p w14:paraId="59067A71" w14:textId="77777777" w:rsidR="007D38FD" w:rsidRPr="009B69D4" w:rsidRDefault="007D3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6E2A1A"/>
    <w:multiLevelType w:val="hybridMultilevel"/>
    <w:tmpl w:val="A83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db3dee3e-18ab-47ec-8e8f-1bb05d266ce6"/>
  </w:docVars>
  <w:rsids>
    <w:rsidRoot w:val="00864FE2"/>
    <w:rsid w:val="00002035"/>
    <w:rsid w:val="00032723"/>
    <w:rsid w:val="00040353"/>
    <w:rsid w:val="000412A8"/>
    <w:rsid w:val="000466B4"/>
    <w:rsid w:val="00050E0F"/>
    <w:rsid w:val="0005494D"/>
    <w:rsid w:val="0006126E"/>
    <w:rsid w:val="00070B9C"/>
    <w:rsid w:val="000833C4"/>
    <w:rsid w:val="00092362"/>
    <w:rsid w:val="00092890"/>
    <w:rsid w:val="000946D9"/>
    <w:rsid w:val="0009616E"/>
    <w:rsid w:val="000A1AB7"/>
    <w:rsid w:val="000B5BC5"/>
    <w:rsid w:val="000C698E"/>
    <w:rsid w:val="000C6FF7"/>
    <w:rsid w:val="000D49EC"/>
    <w:rsid w:val="000F2292"/>
    <w:rsid w:val="000F572D"/>
    <w:rsid w:val="00112533"/>
    <w:rsid w:val="00112F8F"/>
    <w:rsid w:val="00113015"/>
    <w:rsid w:val="00116EA8"/>
    <w:rsid w:val="00117C0B"/>
    <w:rsid w:val="00117F12"/>
    <w:rsid w:val="001254D2"/>
    <w:rsid w:val="00127BB8"/>
    <w:rsid w:val="0013112A"/>
    <w:rsid w:val="00143513"/>
    <w:rsid w:val="00146599"/>
    <w:rsid w:val="0015087A"/>
    <w:rsid w:val="00153CCF"/>
    <w:rsid w:val="0015742C"/>
    <w:rsid w:val="001617FB"/>
    <w:rsid w:val="001625F6"/>
    <w:rsid w:val="00162E22"/>
    <w:rsid w:val="00165CB3"/>
    <w:rsid w:val="001661AF"/>
    <w:rsid w:val="0016645F"/>
    <w:rsid w:val="00174A8B"/>
    <w:rsid w:val="00180DEC"/>
    <w:rsid w:val="00180FBF"/>
    <w:rsid w:val="001926AA"/>
    <w:rsid w:val="001A09AA"/>
    <w:rsid w:val="001A3754"/>
    <w:rsid w:val="001B0428"/>
    <w:rsid w:val="001B1DA3"/>
    <w:rsid w:val="001B40E4"/>
    <w:rsid w:val="001C6712"/>
    <w:rsid w:val="001D4EBE"/>
    <w:rsid w:val="001D783E"/>
    <w:rsid w:val="00201BAF"/>
    <w:rsid w:val="0020229C"/>
    <w:rsid w:val="00203D99"/>
    <w:rsid w:val="00205E39"/>
    <w:rsid w:val="002147DD"/>
    <w:rsid w:val="00224993"/>
    <w:rsid w:val="0024433F"/>
    <w:rsid w:val="00246B46"/>
    <w:rsid w:val="00261156"/>
    <w:rsid w:val="00264380"/>
    <w:rsid w:val="00264A16"/>
    <w:rsid w:val="002738AE"/>
    <w:rsid w:val="00277D1E"/>
    <w:rsid w:val="002831B1"/>
    <w:rsid w:val="00293328"/>
    <w:rsid w:val="00294D7A"/>
    <w:rsid w:val="002A4402"/>
    <w:rsid w:val="002C56FF"/>
    <w:rsid w:val="002D2433"/>
    <w:rsid w:val="002D7FC7"/>
    <w:rsid w:val="002E3016"/>
    <w:rsid w:val="002E4266"/>
    <w:rsid w:val="002F179B"/>
    <w:rsid w:val="003109B5"/>
    <w:rsid w:val="003123EA"/>
    <w:rsid w:val="00321B54"/>
    <w:rsid w:val="003268E5"/>
    <w:rsid w:val="00326EE1"/>
    <w:rsid w:val="00347507"/>
    <w:rsid w:val="0037188B"/>
    <w:rsid w:val="00374717"/>
    <w:rsid w:val="00385833"/>
    <w:rsid w:val="003870FA"/>
    <w:rsid w:val="00387288"/>
    <w:rsid w:val="00391984"/>
    <w:rsid w:val="00393DE4"/>
    <w:rsid w:val="003A65A0"/>
    <w:rsid w:val="003A78C0"/>
    <w:rsid w:val="003A7C07"/>
    <w:rsid w:val="003B1F1B"/>
    <w:rsid w:val="003B1F6E"/>
    <w:rsid w:val="003B6960"/>
    <w:rsid w:val="003B7EDA"/>
    <w:rsid w:val="003D442C"/>
    <w:rsid w:val="003D57E9"/>
    <w:rsid w:val="003E007A"/>
    <w:rsid w:val="003F590C"/>
    <w:rsid w:val="00400524"/>
    <w:rsid w:val="00403AA5"/>
    <w:rsid w:val="00406DCA"/>
    <w:rsid w:val="0043301C"/>
    <w:rsid w:val="00437F2A"/>
    <w:rsid w:val="004441C3"/>
    <w:rsid w:val="004560F9"/>
    <w:rsid w:val="00460B21"/>
    <w:rsid w:val="00463769"/>
    <w:rsid w:val="004639AD"/>
    <w:rsid w:val="004647B1"/>
    <w:rsid w:val="00466FC6"/>
    <w:rsid w:val="004734B3"/>
    <w:rsid w:val="004759C4"/>
    <w:rsid w:val="00485335"/>
    <w:rsid w:val="00486530"/>
    <w:rsid w:val="004D397B"/>
    <w:rsid w:val="004F1AF4"/>
    <w:rsid w:val="004F3176"/>
    <w:rsid w:val="004F64A4"/>
    <w:rsid w:val="00502FFF"/>
    <w:rsid w:val="00512243"/>
    <w:rsid w:val="00521E06"/>
    <w:rsid w:val="00526F5D"/>
    <w:rsid w:val="00545535"/>
    <w:rsid w:val="00547E3B"/>
    <w:rsid w:val="005560CB"/>
    <w:rsid w:val="00562AF3"/>
    <w:rsid w:val="00567D14"/>
    <w:rsid w:val="0057617F"/>
    <w:rsid w:val="00584DB7"/>
    <w:rsid w:val="005928C8"/>
    <w:rsid w:val="005937BD"/>
    <w:rsid w:val="00594AD8"/>
    <w:rsid w:val="005A27A0"/>
    <w:rsid w:val="005A2B98"/>
    <w:rsid w:val="005A651D"/>
    <w:rsid w:val="005B1FF4"/>
    <w:rsid w:val="005C5B0A"/>
    <w:rsid w:val="005C672C"/>
    <w:rsid w:val="005D0AEA"/>
    <w:rsid w:val="005D1F7A"/>
    <w:rsid w:val="005D725E"/>
    <w:rsid w:val="0060530D"/>
    <w:rsid w:val="00630DB4"/>
    <w:rsid w:val="00634301"/>
    <w:rsid w:val="006400D1"/>
    <w:rsid w:val="006422A7"/>
    <w:rsid w:val="00643CA7"/>
    <w:rsid w:val="00650C6A"/>
    <w:rsid w:val="00653E22"/>
    <w:rsid w:val="00661DA2"/>
    <w:rsid w:val="006820C8"/>
    <w:rsid w:val="006925B4"/>
    <w:rsid w:val="006942FD"/>
    <w:rsid w:val="006A648C"/>
    <w:rsid w:val="006C1091"/>
    <w:rsid w:val="006C2587"/>
    <w:rsid w:val="006C5D1C"/>
    <w:rsid w:val="006C6D56"/>
    <w:rsid w:val="006D035D"/>
    <w:rsid w:val="006D1617"/>
    <w:rsid w:val="006D16F3"/>
    <w:rsid w:val="006E4C5D"/>
    <w:rsid w:val="006F20CF"/>
    <w:rsid w:val="006F3751"/>
    <w:rsid w:val="006F5867"/>
    <w:rsid w:val="00702578"/>
    <w:rsid w:val="0070527B"/>
    <w:rsid w:val="0071321C"/>
    <w:rsid w:val="0072370F"/>
    <w:rsid w:val="00727181"/>
    <w:rsid w:val="00732A2A"/>
    <w:rsid w:val="007348CC"/>
    <w:rsid w:val="0073643E"/>
    <w:rsid w:val="00747F55"/>
    <w:rsid w:val="00763126"/>
    <w:rsid w:val="007639AA"/>
    <w:rsid w:val="00766CE3"/>
    <w:rsid w:val="00770DCB"/>
    <w:rsid w:val="00773213"/>
    <w:rsid w:val="00776F80"/>
    <w:rsid w:val="00777C21"/>
    <w:rsid w:val="00785251"/>
    <w:rsid w:val="00787F59"/>
    <w:rsid w:val="007A48AD"/>
    <w:rsid w:val="007A5B97"/>
    <w:rsid w:val="007B0B5E"/>
    <w:rsid w:val="007B41DA"/>
    <w:rsid w:val="007D38FD"/>
    <w:rsid w:val="007D7463"/>
    <w:rsid w:val="007E0E12"/>
    <w:rsid w:val="007E69F2"/>
    <w:rsid w:val="007E76F7"/>
    <w:rsid w:val="007F0395"/>
    <w:rsid w:val="007F0EFA"/>
    <w:rsid w:val="007F4F40"/>
    <w:rsid w:val="007F5FA6"/>
    <w:rsid w:val="007F62E7"/>
    <w:rsid w:val="00803E8C"/>
    <w:rsid w:val="008053BA"/>
    <w:rsid w:val="00810B99"/>
    <w:rsid w:val="00817BA0"/>
    <w:rsid w:val="00825D72"/>
    <w:rsid w:val="008269F6"/>
    <w:rsid w:val="0083312F"/>
    <w:rsid w:val="00834E22"/>
    <w:rsid w:val="008422E0"/>
    <w:rsid w:val="0084427C"/>
    <w:rsid w:val="00850249"/>
    <w:rsid w:val="008540A4"/>
    <w:rsid w:val="0086013A"/>
    <w:rsid w:val="008649BB"/>
    <w:rsid w:val="00864FE2"/>
    <w:rsid w:val="008727D5"/>
    <w:rsid w:val="00887064"/>
    <w:rsid w:val="00891C62"/>
    <w:rsid w:val="008A1CA4"/>
    <w:rsid w:val="008A277A"/>
    <w:rsid w:val="008A37B5"/>
    <w:rsid w:val="008B084E"/>
    <w:rsid w:val="008B11DA"/>
    <w:rsid w:val="008B131A"/>
    <w:rsid w:val="008D1AFD"/>
    <w:rsid w:val="008D1DEE"/>
    <w:rsid w:val="008D6151"/>
    <w:rsid w:val="008F46A6"/>
    <w:rsid w:val="00900F73"/>
    <w:rsid w:val="00905F1D"/>
    <w:rsid w:val="00906D99"/>
    <w:rsid w:val="009174CC"/>
    <w:rsid w:val="00922C76"/>
    <w:rsid w:val="00930966"/>
    <w:rsid w:val="00937FF3"/>
    <w:rsid w:val="00943999"/>
    <w:rsid w:val="00945262"/>
    <w:rsid w:val="00945D1E"/>
    <w:rsid w:val="0095102A"/>
    <w:rsid w:val="00952B26"/>
    <w:rsid w:val="0095475D"/>
    <w:rsid w:val="00960128"/>
    <w:rsid w:val="00966B64"/>
    <w:rsid w:val="00970A95"/>
    <w:rsid w:val="00974416"/>
    <w:rsid w:val="00975FF1"/>
    <w:rsid w:val="0098183F"/>
    <w:rsid w:val="00990E07"/>
    <w:rsid w:val="0099122E"/>
    <w:rsid w:val="009A03FE"/>
    <w:rsid w:val="009A1837"/>
    <w:rsid w:val="009B2EF3"/>
    <w:rsid w:val="009B69D4"/>
    <w:rsid w:val="009C7944"/>
    <w:rsid w:val="009D5FE6"/>
    <w:rsid w:val="009D67D4"/>
    <w:rsid w:val="009E269E"/>
    <w:rsid w:val="009F54D5"/>
    <w:rsid w:val="009F66EC"/>
    <w:rsid w:val="00A00188"/>
    <w:rsid w:val="00A0051B"/>
    <w:rsid w:val="00A0595C"/>
    <w:rsid w:val="00A23793"/>
    <w:rsid w:val="00A24609"/>
    <w:rsid w:val="00A35504"/>
    <w:rsid w:val="00A60357"/>
    <w:rsid w:val="00A606FE"/>
    <w:rsid w:val="00A764CC"/>
    <w:rsid w:val="00A77FF4"/>
    <w:rsid w:val="00A82BCC"/>
    <w:rsid w:val="00A92DE9"/>
    <w:rsid w:val="00A952A2"/>
    <w:rsid w:val="00AC3918"/>
    <w:rsid w:val="00AC612A"/>
    <w:rsid w:val="00AC76E2"/>
    <w:rsid w:val="00AD0339"/>
    <w:rsid w:val="00AD155E"/>
    <w:rsid w:val="00AD437F"/>
    <w:rsid w:val="00AE3822"/>
    <w:rsid w:val="00AF5987"/>
    <w:rsid w:val="00B0793A"/>
    <w:rsid w:val="00B12385"/>
    <w:rsid w:val="00B179DC"/>
    <w:rsid w:val="00B20347"/>
    <w:rsid w:val="00B31B72"/>
    <w:rsid w:val="00B359A2"/>
    <w:rsid w:val="00B35D53"/>
    <w:rsid w:val="00B4304A"/>
    <w:rsid w:val="00B502DC"/>
    <w:rsid w:val="00B5062B"/>
    <w:rsid w:val="00B62DCF"/>
    <w:rsid w:val="00B66873"/>
    <w:rsid w:val="00B7045C"/>
    <w:rsid w:val="00B75542"/>
    <w:rsid w:val="00B75C24"/>
    <w:rsid w:val="00B76A02"/>
    <w:rsid w:val="00BB06A1"/>
    <w:rsid w:val="00BC10CB"/>
    <w:rsid w:val="00BC1363"/>
    <w:rsid w:val="00BC6BFE"/>
    <w:rsid w:val="00BE67FE"/>
    <w:rsid w:val="00BE7A97"/>
    <w:rsid w:val="00C112B8"/>
    <w:rsid w:val="00C1549D"/>
    <w:rsid w:val="00C2156D"/>
    <w:rsid w:val="00C32F20"/>
    <w:rsid w:val="00C3457D"/>
    <w:rsid w:val="00C34D75"/>
    <w:rsid w:val="00C3539F"/>
    <w:rsid w:val="00C5323A"/>
    <w:rsid w:val="00C572E3"/>
    <w:rsid w:val="00C610D9"/>
    <w:rsid w:val="00C6217F"/>
    <w:rsid w:val="00C63767"/>
    <w:rsid w:val="00C670C8"/>
    <w:rsid w:val="00C71DEE"/>
    <w:rsid w:val="00C734AA"/>
    <w:rsid w:val="00C75810"/>
    <w:rsid w:val="00CA0CDC"/>
    <w:rsid w:val="00CA7C0A"/>
    <w:rsid w:val="00CD1142"/>
    <w:rsid w:val="00CD15D2"/>
    <w:rsid w:val="00CD6841"/>
    <w:rsid w:val="00CD6FDA"/>
    <w:rsid w:val="00CE21BB"/>
    <w:rsid w:val="00CE2DB7"/>
    <w:rsid w:val="00CE3326"/>
    <w:rsid w:val="00CE6968"/>
    <w:rsid w:val="00CE71E5"/>
    <w:rsid w:val="00CF49A4"/>
    <w:rsid w:val="00D05B92"/>
    <w:rsid w:val="00D32E20"/>
    <w:rsid w:val="00D3602D"/>
    <w:rsid w:val="00D375AF"/>
    <w:rsid w:val="00D37662"/>
    <w:rsid w:val="00D42015"/>
    <w:rsid w:val="00D4301B"/>
    <w:rsid w:val="00D45D58"/>
    <w:rsid w:val="00D50D4C"/>
    <w:rsid w:val="00D777C8"/>
    <w:rsid w:val="00D86CBA"/>
    <w:rsid w:val="00D87806"/>
    <w:rsid w:val="00D91F78"/>
    <w:rsid w:val="00D9420B"/>
    <w:rsid w:val="00D976D8"/>
    <w:rsid w:val="00DA1620"/>
    <w:rsid w:val="00DA281E"/>
    <w:rsid w:val="00DA3973"/>
    <w:rsid w:val="00DA3CBA"/>
    <w:rsid w:val="00DC71B5"/>
    <w:rsid w:val="00DD0A6B"/>
    <w:rsid w:val="00DE65D1"/>
    <w:rsid w:val="00DF3618"/>
    <w:rsid w:val="00E02A0A"/>
    <w:rsid w:val="00E02F68"/>
    <w:rsid w:val="00E031BD"/>
    <w:rsid w:val="00E103B6"/>
    <w:rsid w:val="00E12A48"/>
    <w:rsid w:val="00E12CF2"/>
    <w:rsid w:val="00E13C9B"/>
    <w:rsid w:val="00E15653"/>
    <w:rsid w:val="00E16B53"/>
    <w:rsid w:val="00E26200"/>
    <w:rsid w:val="00E2740E"/>
    <w:rsid w:val="00E32638"/>
    <w:rsid w:val="00E32717"/>
    <w:rsid w:val="00E35E9D"/>
    <w:rsid w:val="00E37015"/>
    <w:rsid w:val="00E44A0B"/>
    <w:rsid w:val="00E737BE"/>
    <w:rsid w:val="00E80A2C"/>
    <w:rsid w:val="00E83F5E"/>
    <w:rsid w:val="00E86BE7"/>
    <w:rsid w:val="00E94614"/>
    <w:rsid w:val="00EA21C6"/>
    <w:rsid w:val="00EA4796"/>
    <w:rsid w:val="00EA7F43"/>
    <w:rsid w:val="00EB1579"/>
    <w:rsid w:val="00EB4FE3"/>
    <w:rsid w:val="00EB7024"/>
    <w:rsid w:val="00EC433D"/>
    <w:rsid w:val="00ED6DB4"/>
    <w:rsid w:val="00ED7B07"/>
    <w:rsid w:val="00EE4043"/>
    <w:rsid w:val="00EF6E0A"/>
    <w:rsid w:val="00F10C0F"/>
    <w:rsid w:val="00F13F5E"/>
    <w:rsid w:val="00F172C8"/>
    <w:rsid w:val="00F1766C"/>
    <w:rsid w:val="00F22B4D"/>
    <w:rsid w:val="00F2590B"/>
    <w:rsid w:val="00F31CFF"/>
    <w:rsid w:val="00F33947"/>
    <w:rsid w:val="00F4576E"/>
    <w:rsid w:val="00F4678B"/>
    <w:rsid w:val="00F503F4"/>
    <w:rsid w:val="00F50694"/>
    <w:rsid w:val="00F6717D"/>
    <w:rsid w:val="00F74EE5"/>
    <w:rsid w:val="00F80E03"/>
    <w:rsid w:val="00F82526"/>
    <w:rsid w:val="00F8304C"/>
    <w:rsid w:val="00F90403"/>
    <w:rsid w:val="00F9755A"/>
    <w:rsid w:val="00FA6969"/>
    <w:rsid w:val="00FB5832"/>
    <w:rsid w:val="00FB6616"/>
    <w:rsid w:val="00FC0868"/>
    <w:rsid w:val="00FC1364"/>
    <w:rsid w:val="00FC1B1E"/>
    <w:rsid w:val="00FC64E5"/>
    <w:rsid w:val="00FD12D7"/>
    <w:rsid w:val="00FD1778"/>
    <w:rsid w:val="00FF08DF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640C125C"/>
  <w15:chartTrackingRefBased/>
  <w15:docId w15:val="{0480A9D7-A885-49B1-A498-9DBFED8B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B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7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sid w:val="000C6FF7"/>
    <w:rPr>
      <w:color w:val="0000FF"/>
    </w:rPr>
  </w:style>
  <w:style w:type="character" w:customStyle="1" w:styleId="pi1">
    <w:name w:val="pi1"/>
    <w:rsid w:val="000C6FF7"/>
    <w:rPr>
      <w:color w:val="0000FF"/>
    </w:rPr>
  </w:style>
  <w:style w:type="character" w:customStyle="1" w:styleId="t1">
    <w:name w:val="t1"/>
    <w:rsid w:val="000C6FF7"/>
    <w:rPr>
      <w:color w:val="990000"/>
    </w:rPr>
  </w:style>
  <w:style w:type="character" w:customStyle="1" w:styleId="b1">
    <w:name w:val="b1"/>
    <w:rsid w:val="000C6FF7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0C6FF7"/>
    <w:rPr>
      <w:b/>
      <w:bCs/>
    </w:rPr>
  </w:style>
  <w:style w:type="paragraph" w:customStyle="1" w:styleId="BulletList">
    <w:name w:val="Bullet List"/>
    <w:basedOn w:val="Heading1"/>
    <w:autoRedefine/>
    <w:rsid w:val="006422A7"/>
    <w:pPr>
      <w:numPr>
        <w:numId w:val="3"/>
      </w:numPr>
    </w:pPr>
    <w:rPr>
      <w:b w:val="0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7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C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0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4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3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3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2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84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3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4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6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5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164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Oxygen Consulting, LLC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BURLES</dc:creator>
  <cp:keywords/>
  <cp:lastModifiedBy>Disciullo, Nicholas</cp:lastModifiedBy>
  <cp:revision>3</cp:revision>
  <cp:lastPrinted>2007-09-24T15:15:00Z</cp:lastPrinted>
  <dcterms:created xsi:type="dcterms:W3CDTF">2024-07-25T17:52:00Z</dcterms:created>
  <dcterms:modified xsi:type="dcterms:W3CDTF">2024-07-25T20:55:00Z</dcterms:modified>
</cp:coreProperties>
</file>