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7C752643" w14:textId="77777777">
      <w:pPr>
        <w:pStyle w:val="MeetingDetails"/>
      </w:pPr>
      <w:r>
        <w:t>Market Settlements Subcommittee</w:t>
      </w:r>
    </w:p>
    <w:p w:rsidR="00B62597" w:rsidRPr="00B62597" w:rsidP="00755096" w14:paraId="3549C390" w14:textId="77777777">
      <w:pPr>
        <w:pStyle w:val="MeetingDetails"/>
      </w:pPr>
      <w:r>
        <w:t>Conference Call</w:t>
      </w:r>
    </w:p>
    <w:p w:rsidR="00B62597" w:rsidRPr="008D6CD8" w:rsidP="008D6CD8" w14:paraId="69E04274" w14:textId="744EDE78">
      <w:pPr>
        <w:pStyle w:val="MeetingDetails"/>
      </w:pPr>
      <w:r>
        <w:t>February</w:t>
      </w:r>
      <w:r w:rsidR="005051BB">
        <w:t xml:space="preserve"> </w:t>
      </w:r>
      <w:r>
        <w:t>13</w:t>
      </w:r>
      <w:r w:rsidR="00837E78">
        <w:t>,</w:t>
      </w:r>
      <w:r w:rsidR="002B2F98">
        <w:t xml:space="preserve"> </w:t>
      </w:r>
      <w:r w:rsidR="00ED2C30">
        <w:t>2024</w:t>
      </w:r>
      <w:r w:rsidR="00AA2380">
        <w:t xml:space="preserve"> (Canceled)</w:t>
      </w:r>
    </w:p>
    <w:p w:rsidR="00B62597" w:rsidRPr="00B62597" w:rsidP="00B62597" w14:paraId="5B623F7F" w14:textId="77777777">
      <w:pPr>
        <w:spacing w:after="0" w:line="240" w:lineRule="auto"/>
        <w:rPr>
          <w:rFonts w:ascii="Arial Narrow" w:eastAsia="Times New Roman" w:hAnsi="Arial Narrow" w:cs="Times New Roman"/>
          <w:sz w:val="24"/>
          <w:szCs w:val="20"/>
        </w:rPr>
      </w:pPr>
    </w:p>
    <w:p w:rsidR="00F7443D" w:rsidRPr="00DB29E9" w:rsidP="00F7443D" w14:paraId="632ABF6E" w14:textId="77777777">
      <w:pPr>
        <w:pStyle w:val="PrimaryHeading"/>
      </w:pPr>
      <w:r>
        <w:t>Informational Updates</w:t>
      </w:r>
    </w:p>
    <w:p w:rsidR="00EA027A" w:rsidRPr="00D77189" w:rsidP="00D77189" w14:paraId="79FEC60F" w14:textId="77777777">
      <w:pPr>
        <w:pStyle w:val="ListParagraph"/>
        <w:numPr>
          <w:ilvl w:val="0"/>
          <w:numId w:val="21"/>
        </w:numPr>
        <w:ind w:left="360"/>
        <w:contextualSpacing w:val="0"/>
        <w:rPr>
          <w:rFonts w:ascii="Arial Narrow" w:eastAsia="Times New Roman" w:hAnsi="Arial Narrow" w:cs="Times New Roman"/>
          <w:b/>
          <w:sz w:val="24"/>
        </w:rPr>
      </w:pPr>
      <w:r>
        <w:rPr>
          <w:rFonts w:ascii="Arial Narrow" w:eastAsia="Times New Roman" w:hAnsi="Arial Narrow" w:cs="Times New Roman"/>
          <w:b/>
          <w:sz w:val="24"/>
        </w:rPr>
        <w:t>Winter Storm Elliott PAI Settlement Agreement</w:t>
      </w:r>
    </w:p>
    <w:p w:rsidR="00D8710C" w:rsidP="00D77189" w14:paraId="3E012B41" w14:textId="77777777">
      <w:pPr>
        <w:pStyle w:val="ListParagraph"/>
        <w:ind w:left="403"/>
        <w:contextualSpacing w:val="0"/>
        <w:rPr>
          <w:rFonts w:ascii="Arial Narrow" w:hAnsi="Arial Narrow" w:cs="Calibri"/>
        </w:rPr>
      </w:pPr>
      <w:r>
        <w:rPr>
          <w:rFonts w:ascii="Arial Narrow" w:hAnsi="Arial Narrow" w:cs="Calibri"/>
        </w:rPr>
        <w:t xml:space="preserve">On December 19, 2023, FERC </w:t>
      </w:r>
      <w:hyperlink r:id="rId4" w:history="1">
        <w:r w:rsidRPr="00F31875">
          <w:rPr>
            <w:rStyle w:val="Hyperlink"/>
            <w:rFonts w:ascii="Arial Narrow" w:hAnsi="Arial Narrow" w:cs="Calibri"/>
          </w:rPr>
          <w:t>approved</w:t>
        </w:r>
      </w:hyperlink>
      <w:r>
        <w:rPr>
          <w:rFonts w:ascii="Arial Narrow" w:hAnsi="Arial Narrow" w:cs="Calibri"/>
        </w:rPr>
        <w:t xml:space="preserve"> a settlement package between PJM and 81 other settling parties regarding non-performance charges assessed by PJM during </w:t>
      </w:r>
      <w:hyperlink r:id="rId5" w:history="1">
        <w:r w:rsidRPr="00F31875">
          <w:rPr>
            <w:rStyle w:val="Hyperlink"/>
            <w:rFonts w:ascii="Arial Narrow" w:hAnsi="Arial Narrow" w:cs="Calibri"/>
          </w:rPr>
          <w:t>Winter Storm Elliott</w:t>
        </w:r>
      </w:hyperlink>
      <w:r w:rsidR="00EA027A">
        <w:rPr>
          <w:rFonts w:ascii="Arial Narrow" w:hAnsi="Arial Narrow" w:cs="Calibri"/>
        </w:rPr>
        <w:t>.</w:t>
      </w:r>
      <w:r w:rsidR="008D6CD8">
        <w:rPr>
          <w:rFonts w:ascii="Arial Narrow" w:hAnsi="Arial Narrow" w:cs="Calibri"/>
        </w:rPr>
        <w:t xml:space="preserve">  </w:t>
      </w:r>
    </w:p>
    <w:p w:rsidR="00F31875" w:rsidP="00D77189" w14:paraId="4DE5358D" w14:textId="77777777">
      <w:pPr>
        <w:pStyle w:val="ListParagraph"/>
        <w:ind w:left="403"/>
        <w:contextualSpacing w:val="0"/>
        <w:rPr>
          <w:rFonts w:ascii="Arial Narrow" w:hAnsi="Arial Narrow" w:cs="Calibri"/>
        </w:rPr>
      </w:pPr>
      <w:r>
        <w:rPr>
          <w:rFonts w:ascii="Arial Narrow" w:hAnsi="Arial Narrow" w:cs="Calibri"/>
        </w:rPr>
        <w:t>Please review the following materials regarding the settlement approval and impacts:</w:t>
      </w:r>
    </w:p>
    <w:p w:rsidR="00F31875" w:rsidP="00D77189" w14:paraId="6D44535D" w14:textId="77777777">
      <w:pPr>
        <w:pStyle w:val="ListParagraph"/>
        <w:ind w:left="403"/>
        <w:contextualSpacing w:val="0"/>
        <w:rPr>
          <w:rFonts w:ascii="Arial Narrow" w:hAnsi="Arial Narrow" w:cs="Calibri"/>
        </w:rPr>
      </w:pPr>
      <w:hyperlink r:id="rId6" w:history="1">
        <w:r w:rsidRPr="00F31875">
          <w:rPr>
            <w:rStyle w:val="Hyperlink"/>
            <w:rFonts w:ascii="Arial Narrow" w:hAnsi="Arial Narrow" w:cs="Calibri"/>
          </w:rPr>
          <w:t>FERC Settlement FAQ</w:t>
        </w:r>
      </w:hyperlink>
      <w:r w:rsidR="007849E3">
        <w:rPr>
          <w:rFonts w:ascii="Arial Narrow" w:hAnsi="Arial Narrow" w:cs="Calibri"/>
        </w:rPr>
        <w:t xml:space="preserve"> – this document </w:t>
      </w:r>
      <w:r w:rsidR="00C10306">
        <w:rPr>
          <w:rFonts w:ascii="Arial Narrow" w:hAnsi="Arial Narrow" w:cs="Calibri"/>
        </w:rPr>
        <w:t>c</w:t>
      </w:r>
      <w:r w:rsidRPr="007849E3" w:rsidR="007849E3">
        <w:rPr>
          <w:rFonts w:ascii="Arial Narrow" w:hAnsi="Arial Narrow" w:cs="Calibri"/>
        </w:rPr>
        <w:t>ontains answers to several billing and credit/collateral related questions and provides processing timeline information</w:t>
      </w:r>
      <w:r w:rsidR="007849E3">
        <w:rPr>
          <w:rFonts w:ascii="Arial Narrow" w:hAnsi="Arial Narrow" w:cs="Calibri"/>
        </w:rPr>
        <w:t>.</w:t>
      </w:r>
    </w:p>
    <w:p w:rsidR="00F31875" w:rsidP="00D77189" w14:paraId="713EFB43" w14:textId="77777777">
      <w:pPr>
        <w:pStyle w:val="ListParagraph"/>
        <w:ind w:left="403"/>
        <w:contextualSpacing w:val="0"/>
        <w:rPr>
          <w:rFonts w:ascii="Arial Narrow" w:hAnsi="Arial Narrow" w:cs="Calibri"/>
        </w:rPr>
      </w:pPr>
      <w:hyperlink r:id="rId7" w:history="1">
        <w:r w:rsidRPr="00F31875">
          <w:rPr>
            <w:rStyle w:val="Hyperlink"/>
            <w:rFonts w:ascii="Arial Narrow" w:hAnsi="Arial Narrow" w:cs="Calibri"/>
          </w:rPr>
          <w:t>Settlement Reduced Non-Performance Assessment Charges and Credits</w:t>
        </w:r>
      </w:hyperlink>
      <w:r>
        <w:rPr>
          <w:rFonts w:ascii="Arial Narrow" w:hAnsi="Arial Narrow" w:cs="Calibri"/>
        </w:rPr>
        <w:t xml:space="preserve"> – this spreadsheet contains an estimate of the reduced non-performance charges and bonus credits for the event under the terms of the Settlement Agreement.</w:t>
      </w:r>
    </w:p>
    <w:p w:rsidR="00F31875" w:rsidP="00D77189" w14:paraId="183A2983" w14:textId="77777777">
      <w:pPr>
        <w:pStyle w:val="ListParagraph"/>
        <w:ind w:left="403"/>
        <w:contextualSpacing w:val="0"/>
        <w:rPr>
          <w:rFonts w:ascii="Arial Narrow" w:hAnsi="Arial Narrow" w:cs="Calibri"/>
        </w:rPr>
      </w:pPr>
      <w:r>
        <w:rPr>
          <w:rFonts w:ascii="Arial Narrow" w:hAnsi="Arial Narrow" w:cs="Calibri"/>
        </w:rPr>
        <w:t xml:space="preserve">PJM will implement the Settlement Agreement updates and also complete the 3 months of PAI billing that were suspended per the waiver in FERC Docket No. EL23-53, et al. in the February 2024 monthly billing statement. </w:t>
      </w:r>
    </w:p>
    <w:p w:rsidR="00F2674C" w:rsidP="00F2674C" w14:paraId="44D30FFB" w14:textId="250FF441">
      <w:pPr>
        <w:pStyle w:val="ListParagraph"/>
        <w:ind w:left="403"/>
        <w:contextualSpacing w:val="0"/>
        <w:rPr>
          <w:rFonts w:ascii="Arial Narrow" w:hAnsi="Arial Narrow" w:cs="Calibri"/>
        </w:rPr>
      </w:pPr>
      <w:r>
        <w:rPr>
          <w:rFonts w:ascii="Arial Narrow" w:hAnsi="Arial Narrow" w:cs="Calibri"/>
        </w:rPr>
        <w:t>Additional details regarding the implementation of the Winter Storm Elliot Settlement Agreement will</w:t>
      </w:r>
      <w:r w:rsidR="001431B1">
        <w:rPr>
          <w:rFonts w:ascii="Arial Narrow" w:hAnsi="Arial Narrow" w:cs="Calibri"/>
        </w:rPr>
        <w:t xml:space="preserve"> be discussed at the February 29</w:t>
      </w:r>
      <w:r>
        <w:rPr>
          <w:rFonts w:ascii="Arial Narrow" w:hAnsi="Arial Narrow" w:cs="Calibri"/>
        </w:rPr>
        <w:t xml:space="preserve">, 2024 </w:t>
      </w:r>
      <w:hyperlink r:id="rId8" w:history="1">
        <w:r w:rsidRPr="00C35D4B">
          <w:rPr>
            <w:rStyle w:val="Hyperlink"/>
            <w:rFonts w:ascii="Arial Narrow" w:hAnsi="Arial Narrow" w:cs="Calibri"/>
          </w:rPr>
          <w:t>Risk Management Committee</w:t>
        </w:r>
      </w:hyperlink>
      <w:r>
        <w:rPr>
          <w:rFonts w:ascii="Arial Narrow" w:hAnsi="Arial Narrow" w:cs="Calibri"/>
        </w:rPr>
        <w:t xml:space="preserve"> meeting. </w:t>
      </w:r>
    </w:p>
    <w:p w:rsidR="00F2674C" w:rsidP="00F2674C" w14:paraId="701A2233" w14:textId="302C89A2">
      <w:pPr>
        <w:pStyle w:val="ListParagraph"/>
        <w:ind w:left="403" w:hanging="403"/>
        <w:contextualSpacing w:val="0"/>
        <w:rPr>
          <w:rFonts w:ascii="Arial Narrow" w:hAnsi="Arial Narrow" w:cs="Calibri"/>
          <w:b/>
        </w:rPr>
      </w:pPr>
      <w:r w:rsidRPr="00F2674C">
        <w:rPr>
          <w:rFonts w:ascii="Arial Narrow" w:hAnsi="Arial Narrow" w:cs="Calibri"/>
          <w:b/>
        </w:rPr>
        <w:t xml:space="preserve">2. </w:t>
      </w:r>
      <w:r>
        <w:rPr>
          <w:rFonts w:ascii="Arial Narrow" w:hAnsi="Arial Narrow" w:cs="Calibri"/>
          <w:b/>
        </w:rPr>
        <w:t xml:space="preserve">   PAI Settlement Agreement Implementation</w:t>
      </w:r>
    </w:p>
    <w:p w:rsidR="00F2674C" w:rsidP="00F2674C" w14:paraId="37A8C5EC" w14:textId="3A864BD7">
      <w:pPr>
        <w:pStyle w:val="ListParagraph"/>
        <w:ind w:left="403" w:hanging="403"/>
        <w:contextualSpacing w:val="0"/>
        <w:rPr>
          <w:rFonts w:ascii="Arial Narrow" w:hAnsi="Arial Narrow" w:cs="Calibri"/>
        </w:rPr>
      </w:pPr>
      <w:r>
        <w:rPr>
          <w:rFonts w:ascii="Arial Narrow" w:hAnsi="Arial Narrow" w:cs="Calibri"/>
          <w:b/>
        </w:rPr>
        <w:tab/>
      </w:r>
      <w:r>
        <w:rPr>
          <w:rFonts w:ascii="Arial Narrow" w:hAnsi="Arial Narrow" w:cs="Calibri"/>
        </w:rPr>
        <w:t>Please review the following information regarding how updated Non-Performance Assessment charges and Bonus Performance credits will appear in monthly invoice</w:t>
      </w:r>
      <w:r w:rsidR="00822A95">
        <w:rPr>
          <w:rFonts w:ascii="Arial Narrow" w:hAnsi="Arial Narrow" w:cs="Calibri"/>
        </w:rPr>
        <w:t>s</w:t>
      </w:r>
      <w:r>
        <w:rPr>
          <w:rFonts w:ascii="Arial Narrow" w:hAnsi="Arial Narrow" w:cs="Calibri"/>
        </w:rPr>
        <w:t xml:space="preserve"> and supporting MSRS reports.</w:t>
      </w:r>
    </w:p>
    <w:p w:rsidR="00F2674C" w:rsidRPr="00F2674C" w:rsidP="00F2674C" w14:paraId="2EA0E100" w14:textId="59F3442C">
      <w:pPr>
        <w:pStyle w:val="ListParagraph"/>
        <w:ind w:left="403" w:hanging="403"/>
        <w:contextualSpacing w:val="0"/>
        <w:rPr>
          <w:rFonts w:ascii="Arial Narrow" w:hAnsi="Arial Narrow" w:cs="Calibri"/>
        </w:rPr>
      </w:pPr>
      <w:r>
        <w:rPr>
          <w:rFonts w:ascii="Arial Narrow" w:hAnsi="Arial Narrow" w:cs="Calibri"/>
        </w:rPr>
        <w:tab/>
      </w:r>
      <w:hyperlink r:id="rId9" w:history="1">
        <w:r w:rsidRPr="008665AE" w:rsidR="008665AE">
          <w:rPr>
            <w:rStyle w:val="Hyperlink"/>
            <w:rFonts w:ascii="Arial Narrow" w:hAnsi="Arial Narrow" w:cs="Calibri"/>
          </w:rPr>
          <w:t>PAI Settlement Implementation</w:t>
        </w:r>
      </w:hyperlink>
      <w:bookmarkStart w:id="0" w:name="_GoBack"/>
      <w:bookmarkEnd w:id="0"/>
    </w:p>
    <w:p w:rsidR="00D77189" w:rsidP="00F31875" w14:paraId="4EE2B547" w14:textId="552C581E">
      <w:pPr>
        <w:pStyle w:val="ListSubhead1"/>
        <w:numPr>
          <w:ilvl w:val="0"/>
          <w:numId w:val="0"/>
        </w:numPr>
      </w:pPr>
      <w:r>
        <w:t>3</w:t>
      </w:r>
      <w:r w:rsidR="00912528">
        <w:t>.</w:t>
      </w:r>
      <w:r w:rsidRPr="002C418F" w:rsidR="008D6CD8">
        <w:t xml:space="preserve"> </w:t>
      </w:r>
      <w:r w:rsidR="00C45666">
        <w:t xml:space="preserve">  </w:t>
      </w:r>
      <w:r w:rsidR="00F867EA">
        <w:t>MSRS report changes</w:t>
      </w:r>
      <w:r w:rsidR="00C35D4B">
        <w:t xml:space="preserve"> deployed</w:t>
      </w:r>
    </w:p>
    <w:p w:rsidR="00C35D4B" w:rsidP="00C35D4B" w14:paraId="6A5151D0" w14:textId="77777777">
      <w:pPr>
        <w:pStyle w:val="ListSubhead1"/>
        <w:numPr>
          <w:ilvl w:val="0"/>
          <w:numId w:val="0"/>
        </w:numPr>
        <w:ind w:left="360"/>
        <w:rPr>
          <w:b w:val="0"/>
          <w:sz w:val="22"/>
        </w:rPr>
      </w:pPr>
      <w:r>
        <w:rPr>
          <w:b w:val="0"/>
          <w:sz w:val="22"/>
        </w:rPr>
        <w:t>Previously discussed MSRS report column name changes for the Operating Reserve Generator Deviations – 5 Minute report were deployed to MSRS Production and are effective for trade dates February 1, 2024 forward.</w:t>
      </w:r>
    </w:p>
    <w:p w:rsidR="000044D5" w:rsidP="00D77189" w14:paraId="4CBC7D6A" w14:textId="77777777">
      <w:pPr>
        <w:pStyle w:val="ListSubhead1"/>
        <w:numPr>
          <w:ilvl w:val="0"/>
          <w:numId w:val="0"/>
        </w:numPr>
        <w:ind w:left="360"/>
        <w:rPr>
          <w:rStyle w:val="Hyperlink"/>
          <w:b w:val="0"/>
          <w:sz w:val="22"/>
        </w:rPr>
      </w:pPr>
      <w:hyperlink r:id="rId10" w:history="1">
        <w:r w:rsidRPr="004030D2" w:rsidR="00836A8E">
          <w:rPr>
            <w:rStyle w:val="Hyperlink"/>
            <w:b w:val="0"/>
            <w:sz w:val="22"/>
          </w:rPr>
          <w:t>MSRS Report Updates</w:t>
        </w:r>
      </w:hyperlink>
    </w:p>
    <w:p w:rsidR="001D6600" w:rsidRPr="001D6600" w:rsidP="00F2674C" w14:paraId="76243813" w14:textId="77777777">
      <w:pPr>
        <w:pStyle w:val="ListSubhead1"/>
        <w:numPr>
          <w:ilvl w:val="0"/>
          <w:numId w:val="25"/>
        </w:numPr>
        <w:ind w:left="360"/>
        <w:rPr>
          <w:b w:val="0"/>
        </w:rPr>
      </w:pPr>
      <w:r>
        <w:t>Ongoing MIC Special Session – Operating Reserve Clarification for Resources Operating as Requested by PJM</w:t>
      </w:r>
    </w:p>
    <w:p w:rsidR="00F867EA" w:rsidRPr="004030D2" w:rsidP="001D6600" w14:paraId="668838AC" w14:textId="77777777">
      <w:pPr>
        <w:pStyle w:val="ListSubhead1"/>
        <w:numPr>
          <w:ilvl w:val="0"/>
          <w:numId w:val="0"/>
        </w:numPr>
        <w:ind w:left="360"/>
        <w:rPr>
          <w:b w:val="0"/>
          <w:sz w:val="22"/>
        </w:rPr>
      </w:pPr>
      <w:r w:rsidRPr="004030D2">
        <w:rPr>
          <w:b w:val="0"/>
          <w:sz w:val="22"/>
        </w:rPr>
        <w:t xml:space="preserve">Starting in September 2023, PJM has held special Market Implementation Committee (MIC) sessions to clarify and/or enhance rules governing the calculation of Balancing Operating Reserve credits paid to supply resources determined to be operating as requested by PJM and how such determination is made.  Special sessions will continue in 2024.  Please reference the </w:t>
      </w:r>
      <w:hyperlink r:id="rId11" w:history="1">
        <w:r w:rsidRPr="004030D2">
          <w:rPr>
            <w:rStyle w:val="Hyperlink"/>
            <w:b w:val="0"/>
            <w:sz w:val="22"/>
          </w:rPr>
          <w:t>MIC committee page</w:t>
        </w:r>
      </w:hyperlink>
      <w:r w:rsidRPr="004030D2">
        <w:rPr>
          <w:b w:val="0"/>
          <w:sz w:val="22"/>
        </w:rPr>
        <w:t xml:space="preserve"> for past materials and upcoming meeting dates.</w:t>
      </w:r>
    </w:p>
    <w:p w:rsidR="00593F23" w:rsidRPr="00854D97" w:rsidP="00F2674C" w14:paraId="12F2FD6C" w14:textId="77777777">
      <w:pPr>
        <w:pStyle w:val="ListParagraph"/>
        <w:numPr>
          <w:ilvl w:val="0"/>
          <w:numId w:val="25"/>
        </w:numPr>
        <w:ind w:left="450" w:hanging="450"/>
        <w:contextualSpacing w:val="0"/>
        <w:rPr>
          <w:rFonts w:ascii="Arial Narrow" w:hAnsi="Arial Narrow" w:cs="Calibri"/>
          <w:b/>
        </w:rPr>
      </w:pPr>
      <w:r w:rsidRPr="00593F23">
        <w:rPr>
          <w:rFonts w:ascii="Arial Narrow" w:hAnsi="Arial Narrow" w:cs="Calibri"/>
          <w:b/>
        </w:rPr>
        <w:t>Settlement C Updates</w:t>
      </w:r>
    </w:p>
    <w:p w:rsidR="00854D97" w:rsidRPr="00854D97" w:rsidP="00854D97" w14:paraId="0EF0D109" w14:textId="5AFE4E66">
      <w:pPr>
        <w:pStyle w:val="ListParagraph"/>
        <w:ind w:left="360"/>
        <w:contextualSpacing w:val="0"/>
        <w:rPr>
          <w:rFonts w:ascii="Arial Narrow" w:hAnsi="Arial Narrow" w:cs="Calibri"/>
        </w:rPr>
      </w:pPr>
      <w:r>
        <w:rPr>
          <w:rFonts w:ascii="Arial Narrow" w:hAnsi="Arial Narrow" w:cs="Calibri"/>
        </w:rPr>
        <w:t>No</w:t>
      </w:r>
      <w:r>
        <w:rPr>
          <w:rFonts w:ascii="Arial Narrow" w:hAnsi="Arial Narrow" w:cs="Calibri"/>
        </w:rPr>
        <w:t xml:space="preserve"> </w:t>
      </w:r>
      <w:r w:rsidR="00DF003D">
        <w:rPr>
          <w:rFonts w:ascii="Arial Narrow" w:hAnsi="Arial Narrow" w:cs="Calibri"/>
        </w:rPr>
        <w:t>adjustment</w:t>
      </w:r>
      <w:r>
        <w:rPr>
          <w:rFonts w:ascii="Arial Narrow" w:hAnsi="Arial Narrow" w:cs="Calibri"/>
        </w:rPr>
        <w:t>s</w:t>
      </w:r>
      <w:r>
        <w:rPr>
          <w:rFonts w:ascii="Arial Narrow" w:hAnsi="Arial Narrow" w:cs="Calibri"/>
        </w:rPr>
        <w:t xml:space="preserve"> w</w:t>
      </w:r>
      <w:r>
        <w:rPr>
          <w:rFonts w:ascii="Arial Narrow" w:hAnsi="Arial Narrow" w:cs="Calibri"/>
        </w:rPr>
        <w:t>ere</w:t>
      </w:r>
      <w:r w:rsidR="00DF003D">
        <w:rPr>
          <w:rFonts w:ascii="Arial Narrow" w:hAnsi="Arial Narrow" w:cs="Calibri"/>
        </w:rPr>
        <w:t xml:space="preserve"> processed </w:t>
      </w:r>
      <w:r w:rsidR="00454C0D">
        <w:rPr>
          <w:rFonts w:ascii="Arial Narrow" w:hAnsi="Arial Narrow" w:cs="Calibri"/>
        </w:rPr>
        <w:t xml:space="preserve">in the </w:t>
      </w:r>
      <w:r w:rsidR="00985276">
        <w:rPr>
          <w:rFonts w:ascii="Arial Narrow" w:hAnsi="Arial Narrow" w:cs="Calibri"/>
        </w:rPr>
        <w:t>January 2024</w:t>
      </w:r>
      <w:r w:rsidR="00454C0D">
        <w:rPr>
          <w:rFonts w:ascii="Arial Narrow" w:hAnsi="Arial Narrow" w:cs="Calibri"/>
        </w:rPr>
        <w:t xml:space="preserve"> billing cycle</w:t>
      </w:r>
      <w:r w:rsidR="00C52F00">
        <w:rPr>
          <w:rFonts w:ascii="Arial Narrow" w:hAnsi="Arial Narrow" w:cs="Calibri"/>
        </w:rPr>
        <w:t>.</w:t>
      </w:r>
    </w:p>
    <w:p w:rsidR="0026067C" w:rsidRPr="00021BE9" w:rsidP="00912528" w14:paraId="478FED9B" w14:textId="5FEDF950">
      <w:pPr>
        <w:pStyle w:val="ListParagraph"/>
        <w:ind w:left="405"/>
        <w:rPr>
          <w:rFonts w:ascii="Arial Narrow" w:hAnsi="Arial Narrow" w:cs="Calibri"/>
        </w:rPr>
      </w:pPr>
      <w:hyperlink r:id="rId12" w:history="1">
        <w:r w:rsidRPr="008F0469" w:rsidR="000E058A">
          <w:rPr>
            <w:rStyle w:val="Hyperlink"/>
            <w:rFonts w:ascii="Arial Narrow" w:hAnsi="Arial Narrow" w:cs="Calibri"/>
          </w:rPr>
          <w:t>Settlement C Adjustment Tracking</w:t>
        </w:r>
      </w:hyperlink>
      <w:r w:rsidRPr="00A220B3" w:rsidR="00236DEE">
        <w:rPr>
          <w:rFonts w:ascii="Arial Narrow" w:hAnsi="Arial Narrow" w:cs="Calibri"/>
        </w:rPr>
        <w:t xml:space="preserve"> </w:t>
      </w:r>
    </w:p>
    <w:tbl>
      <w:tblPr>
        <w:tblStyle w:val="PlainTable4"/>
        <w:tblW w:w="0" w:type="auto"/>
        <w:tblLook w:val="04A0"/>
      </w:tblPr>
      <w:tblGrid>
        <w:gridCol w:w="3115"/>
        <w:gridCol w:w="3110"/>
        <w:gridCol w:w="3125"/>
      </w:tblGrid>
      <w:tr w14:paraId="1933A48E" w14:textId="77777777" w:rsidTr="004B1A71">
        <w:tblPrEx>
          <w:tblW w:w="0" w:type="auto"/>
          <w:tblLook w:val="04A0"/>
        </w:tblPrEx>
        <w:tc>
          <w:tcPr>
            <w:tcW w:w="9350" w:type="dxa"/>
            <w:gridSpan w:val="3"/>
          </w:tcPr>
          <w:p w:rsidR="00FC6630" w:rsidP="00FC6630" w14:paraId="779B3B02" w14:textId="77777777">
            <w:pPr>
              <w:pStyle w:val="PrimaryHeading"/>
              <w:ind w:left="-108"/>
            </w:pPr>
            <w:r>
              <w:t>Future Agenda Items</w:t>
            </w:r>
          </w:p>
        </w:tc>
      </w:tr>
      <w:tr w14:paraId="35708207" w14:textId="77777777" w:rsidTr="004B1A71">
        <w:tblPrEx>
          <w:tblW w:w="0" w:type="auto"/>
          <w:tblLook w:val="04A0"/>
        </w:tblPrEx>
        <w:trPr>
          <w:trHeight w:val="296"/>
        </w:trPr>
        <w:tc>
          <w:tcPr>
            <w:tcW w:w="9350" w:type="dxa"/>
            <w:gridSpan w:val="3"/>
          </w:tcPr>
          <w:p w:rsidR="00FC6630" w:rsidRPr="004B1A71" w:rsidP="004B1A71" w14:paraId="6D3C938E" w14:textId="77777777">
            <w:pPr>
              <w:pStyle w:val="AttendeesList"/>
              <w:ind w:left="-105" w:hanging="45"/>
              <w:jc w:val="both"/>
              <w:rPr>
                <w:rFonts w:cs="Calibri"/>
                <w:b w:val="0"/>
                <w:sz w:val="24"/>
                <w:szCs w:val="24"/>
              </w:rPr>
            </w:pPr>
            <w:r>
              <w:rPr>
                <w:rFonts w:cs="Calibri"/>
                <w:sz w:val="24"/>
                <w:szCs w:val="24"/>
              </w:rPr>
              <w:t xml:space="preserve"> </w:t>
            </w:r>
            <w:r w:rsidRPr="004030D2">
              <w:rPr>
                <w:rFonts w:cs="Calibri"/>
                <w:sz w:val="22"/>
                <w:szCs w:val="24"/>
              </w:rPr>
              <w:t>Participants will have the opportunity to request the addition of any new item(s) to the agenda of a future</w:t>
            </w:r>
            <w:r w:rsidRPr="004030D2" w:rsidR="004B1A71">
              <w:rPr>
                <w:rFonts w:cs="Calibri"/>
                <w:sz w:val="22"/>
                <w:szCs w:val="24"/>
              </w:rPr>
              <w:t xml:space="preserve"> </w:t>
            </w:r>
            <w:r w:rsidRPr="004030D2">
              <w:rPr>
                <w:rFonts w:cs="Calibri"/>
                <w:sz w:val="22"/>
                <w:szCs w:val="24"/>
              </w:rPr>
              <w:t>meeting</w:t>
            </w:r>
            <w:r w:rsidRPr="004B1A71">
              <w:rPr>
                <w:rFonts w:cs="Calibri"/>
                <w:b w:val="0"/>
                <w:sz w:val="24"/>
                <w:szCs w:val="24"/>
              </w:rPr>
              <w:t>.</w:t>
            </w:r>
          </w:p>
          <w:p w:rsidR="00F33DC8" w:rsidRPr="00F7443D" w:rsidP="00FC6630" w14:paraId="47F5A2BA" w14:textId="77777777">
            <w:pPr>
              <w:pStyle w:val="AttendeesList"/>
              <w:rPr>
                <w:rFonts w:cs="Calibri"/>
                <w:sz w:val="24"/>
                <w:szCs w:val="24"/>
              </w:rPr>
            </w:pPr>
          </w:p>
        </w:tc>
      </w:tr>
      <w:tr w14:paraId="0093D8B0" w14:textId="77777777" w:rsidTr="004B1A71">
        <w:tblPrEx>
          <w:tblW w:w="0" w:type="auto"/>
          <w:tblLook w:val="04A0"/>
        </w:tblPrEx>
        <w:trPr>
          <w:trHeight w:val="87"/>
        </w:trPr>
        <w:tc>
          <w:tcPr>
            <w:tcW w:w="9350" w:type="dxa"/>
            <w:gridSpan w:val="3"/>
          </w:tcPr>
          <w:p w:rsidR="00FC6630" w:rsidP="00FC6630" w14:paraId="383912D2" w14:textId="77777777">
            <w:pPr>
              <w:pStyle w:val="PrimaryHeading"/>
              <w:ind w:left="-108"/>
            </w:pPr>
            <w:r>
              <w:t>Future Meeting Dates</w:t>
            </w:r>
          </w:p>
        </w:tc>
      </w:tr>
      <w:tr w14:paraId="140D65E2" w14:textId="77777777" w:rsidTr="004B1A71">
        <w:tblPrEx>
          <w:tblW w:w="0" w:type="auto"/>
          <w:tblLook w:val="04A0"/>
        </w:tblPrEx>
        <w:tc>
          <w:tcPr>
            <w:tcW w:w="3115" w:type="dxa"/>
          </w:tcPr>
          <w:p w:rsidR="00203A06" w:rsidP="00CD7076" w14:paraId="42EC759C" w14:textId="77777777">
            <w:pPr>
              <w:pStyle w:val="NormalWeb"/>
              <w:spacing w:before="0" w:beforeAutospacing="0" w:after="0" w:afterAutospacing="0"/>
              <w:rPr>
                <w:rFonts w:ascii="Arial Narrow" w:hAnsi="Arial Narrow"/>
                <w:sz w:val="18"/>
                <w:szCs w:val="18"/>
              </w:rPr>
            </w:pPr>
            <w:r>
              <w:rPr>
                <w:rFonts w:ascii="Arial Narrow" w:hAnsi="Arial Narrow"/>
                <w:sz w:val="18"/>
                <w:szCs w:val="18"/>
              </w:rPr>
              <w:t>March 12, 2024</w:t>
            </w:r>
          </w:p>
        </w:tc>
        <w:tc>
          <w:tcPr>
            <w:tcW w:w="3110" w:type="dxa"/>
          </w:tcPr>
          <w:p w:rsidR="00203A06" w:rsidP="00CD7076" w14:paraId="0468B8D2" w14:textId="77777777">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203A06" w:rsidP="00CD7076" w14:paraId="4086F262" w14:textId="77777777">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14:paraId="77A9BF29" w14:textId="77777777" w:rsidTr="004B1A71">
        <w:tblPrEx>
          <w:tblW w:w="0" w:type="auto"/>
          <w:tblLook w:val="04A0"/>
        </w:tblPrEx>
        <w:tc>
          <w:tcPr>
            <w:tcW w:w="3115" w:type="dxa"/>
          </w:tcPr>
          <w:p w:rsidR="00203A06" w:rsidP="00CD7076" w14:paraId="610A3F21" w14:textId="77777777">
            <w:pPr>
              <w:pStyle w:val="NormalWeb"/>
              <w:spacing w:before="0" w:beforeAutospacing="0" w:after="0" w:afterAutospacing="0"/>
              <w:rPr>
                <w:rFonts w:ascii="Arial Narrow" w:hAnsi="Arial Narrow"/>
                <w:sz w:val="18"/>
                <w:szCs w:val="18"/>
              </w:rPr>
            </w:pPr>
            <w:r>
              <w:rPr>
                <w:rFonts w:ascii="Arial Narrow" w:hAnsi="Arial Narrow"/>
                <w:sz w:val="18"/>
                <w:szCs w:val="18"/>
              </w:rPr>
              <w:t>April 16, 2024</w:t>
            </w:r>
          </w:p>
        </w:tc>
        <w:tc>
          <w:tcPr>
            <w:tcW w:w="3110" w:type="dxa"/>
          </w:tcPr>
          <w:p w:rsidR="00203A06" w:rsidP="00CD7076" w14:paraId="6124BF62" w14:textId="77777777">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203A06" w:rsidP="00CD7076" w14:paraId="59CF101B" w14:textId="77777777">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14:paraId="3B9AB3B9" w14:textId="77777777" w:rsidTr="004B1A71">
        <w:tblPrEx>
          <w:tblW w:w="0" w:type="auto"/>
          <w:tblLook w:val="04A0"/>
        </w:tblPrEx>
        <w:tc>
          <w:tcPr>
            <w:tcW w:w="3115" w:type="dxa"/>
          </w:tcPr>
          <w:p w:rsidR="00985276" w:rsidP="00CD7076" w14:paraId="4CF5CC56" w14:textId="3C9A97E0">
            <w:pPr>
              <w:pStyle w:val="NormalWeb"/>
              <w:spacing w:before="0" w:beforeAutospacing="0" w:after="0" w:afterAutospacing="0"/>
              <w:rPr>
                <w:rFonts w:ascii="Arial Narrow" w:hAnsi="Arial Narrow"/>
                <w:sz w:val="18"/>
                <w:szCs w:val="18"/>
              </w:rPr>
            </w:pPr>
            <w:r>
              <w:rPr>
                <w:rFonts w:ascii="Arial Narrow" w:hAnsi="Arial Narrow"/>
                <w:sz w:val="18"/>
                <w:szCs w:val="18"/>
              </w:rPr>
              <w:t>May 14, 2024</w:t>
            </w:r>
          </w:p>
        </w:tc>
        <w:tc>
          <w:tcPr>
            <w:tcW w:w="3110" w:type="dxa"/>
          </w:tcPr>
          <w:p w:rsidR="00985276" w:rsidP="00CD7076" w14:paraId="0CACDA35" w14:textId="494F3CD9">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985276" w:rsidP="00CD7076" w14:paraId="5E3BEA5C" w14:textId="364F5952">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14:paraId="5469485F" w14:textId="77777777" w:rsidTr="004B1A71">
        <w:tblPrEx>
          <w:tblW w:w="0" w:type="auto"/>
          <w:tblLook w:val="04A0"/>
        </w:tblPrEx>
        <w:tc>
          <w:tcPr>
            <w:tcW w:w="3115" w:type="dxa"/>
          </w:tcPr>
          <w:p w:rsidR="00985276" w:rsidP="00CD7076" w14:paraId="09FB272B" w14:textId="3A8A5869">
            <w:pPr>
              <w:pStyle w:val="NormalWeb"/>
              <w:spacing w:before="0" w:beforeAutospacing="0" w:after="0" w:afterAutospacing="0"/>
              <w:rPr>
                <w:rFonts w:ascii="Arial Narrow" w:hAnsi="Arial Narrow"/>
                <w:sz w:val="18"/>
                <w:szCs w:val="18"/>
              </w:rPr>
            </w:pPr>
            <w:r>
              <w:rPr>
                <w:rFonts w:ascii="Arial Narrow" w:hAnsi="Arial Narrow"/>
                <w:sz w:val="18"/>
                <w:szCs w:val="18"/>
              </w:rPr>
              <w:t>June 11, 2024</w:t>
            </w:r>
          </w:p>
        </w:tc>
        <w:tc>
          <w:tcPr>
            <w:tcW w:w="3110" w:type="dxa"/>
          </w:tcPr>
          <w:p w:rsidR="00985276" w:rsidP="00CD7076" w14:paraId="031A5D37" w14:textId="786803D7">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985276" w:rsidP="00CD7076" w14:paraId="2576AA20" w14:textId="076793F8">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bl>
    <w:p w:rsidR="00726147" w:rsidP="00337321" w14:paraId="4617828D" w14:textId="77777777">
      <w:pPr>
        <w:pStyle w:val="Author"/>
      </w:pPr>
    </w:p>
    <w:p w:rsidR="00454C0D" w:rsidP="00337321" w14:paraId="0EF84267" w14:textId="77777777">
      <w:pPr>
        <w:pStyle w:val="Author"/>
      </w:pPr>
    </w:p>
    <w:p w:rsidR="00726147" w:rsidP="00FC4406" w14:paraId="65182176" w14:textId="77777777">
      <w:pPr>
        <w:pStyle w:val="Author"/>
      </w:pPr>
      <w:r>
        <w:t xml:space="preserve">Author: </w:t>
      </w:r>
      <w:r w:rsidR="006E4ECD">
        <w:t>Sean Flamm</w:t>
      </w:r>
    </w:p>
    <w:p w:rsidR="003C12B2" w:rsidP="00DB29E9" w14:paraId="69C8A6F9" w14:textId="77777777">
      <w:pPr>
        <w:pStyle w:val="DisclaimerHeading"/>
      </w:pPr>
    </w:p>
    <w:p w:rsidR="00C307E9" w:rsidP="00DB29E9" w14:paraId="51BA8901" w14:textId="77777777">
      <w:pPr>
        <w:pStyle w:val="DisclaimerHeading"/>
      </w:pPr>
    </w:p>
    <w:p w:rsidR="00B62597" w:rsidRPr="00B62597" w:rsidP="00DB29E9" w14:paraId="7C26D070" w14:textId="77777777">
      <w:pPr>
        <w:pStyle w:val="DisclaimerHeading"/>
      </w:pPr>
      <w:r>
        <w:t>Anti</w:t>
      </w:r>
      <w:r w:rsidRPr="00B62597">
        <w:t>trust:</w:t>
      </w:r>
    </w:p>
    <w:p w:rsidR="00B62597" w:rsidRPr="00B62597" w:rsidP="00491490" w14:paraId="78175A29"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14:paraId="32EAD24D" w14:textId="77777777">
      <w:pPr>
        <w:spacing w:after="0" w:line="240" w:lineRule="auto"/>
        <w:rPr>
          <w:rFonts w:ascii="Arial Narrow" w:eastAsia="Times New Roman" w:hAnsi="Arial Narrow" w:cs="Times New Roman"/>
          <w:sz w:val="16"/>
          <w:szCs w:val="16"/>
        </w:rPr>
      </w:pPr>
    </w:p>
    <w:p w:rsidR="00B62597" w:rsidRPr="00B62597" w:rsidP="00337321" w14:paraId="7592B41A" w14:textId="77777777">
      <w:pPr>
        <w:pStyle w:val="DisclosureTitle"/>
      </w:pPr>
      <w:r w:rsidRPr="00B62597">
        <w:t>Code of Conduct:</w:t>
      </w:r>
    </w:p>
    <w:p w:rsidR="007F6F00" w:rsidRPr="007F6F00" w:rsidP="007F6F00" w14:paraId="18144B60"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r>
        <w:t xml:space="preserve">  </w:t>
      </w:r>
      <w:r w:rsidRPr="007F6F00">
        <w:t xml:space="preserve">Expectations for participating in PJM activities are further detailed in the </w:t>
      </w:r>
      <w:hyperlink r:id="rId13" w:history="1">
        <w:r w:rsidRPr="007F6F00">
          <w:rPr>
            <w:rStyle w:val="Hyperlink"/>
          </w:rPr>
          <w:t>PJM Code of Conduct</w:t>
        </w:r>
      </w:hyperlink>
      <w:r w:rsidRPr="007F6F00">
        <w:t>.</w:t>
      </w:r>
    </w:p>
    <w:p w:rsidR="00B62597" w:rsidRPr="00B62597" w:rsidP="00B62597" w14:paraId="5D9C5427" w14:textId="77777777">
      <w:pPr>
        <w:spacing w:after="0" w:line="240" w:lineRule="auto"/>
        <w:rPr>
          <w:rFonts w:ascii="Arial Narrow" w:eastAsia="Times New Roman" w:hAnsi="Arial Narrow" w:cs="Times New Roman"/>
          <w:sz w:val="18"/>
          <w:szCs w:val="18"/>
        </w:rPr>
      </w:pPr>
    </w:p>
    <w:p w:rsidR="00B62597" w:rsidRPr="00B62597" w:rsidP="00337321" w14:paraId="51553170" w14:textId="77777777">
      <w:pPr>
        <w:pStyle w:val="DisclosureTitle"/>
      </w:pPr>
      <w:r w:rsidRPr="00B62597">
        <w:t xml:space="preserve">Public Meetings/Media Participation: </w:t>
      </w:r>
    </w:p>
    <w:p w:rsidR="00DE34CF" w:rsidP="00337321" w14:paraId="4C566449"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952331E" w14:textId="77777777">
      <w:pPr>
        <w:pStyle w:val="DisclaimerHeading"/>
        <w:spacing w:before="240"/>
      </w:pPr>
      <w:r>
        <w:t>Participant Identification in WebEx:</w:t>
      </w:r>
    </w:p>
    <w:p w:rsidR="00027F49" w:rsidP="00027F49" w14:paraId="517FBD45" w14:textId="77777777">
      <w:pPr>
        <w:pStyle w:val="DisclaimerBodyCopy"/>
      </w:pPr>
      <w:r>
        <w:t>When logging into the WebEx desktop client, please enter your real first and last name as well as a valid email address. Be sure to select the “call me” option.</w:t>
      </w:r>
    </w:p>
    <w:p w:rsidR="00027F49" w:rsidP="00027F49" w14:paraId="2C8CE2D3" w14:textId="77777777">
      <w:pPr>
        <w:pStyle w:val="DisclaimerBodyCopy"/>
      </w:pPr>
      <w:r>
        <w:t>PJM support staff continuously monitors WebEx connections during stakeholder meetings. Anonymous users or those using false usernames or emails will be dropped from the teleconference.</w:t>
      </w:r>
    </w:p>
    <w:p w:rsidR="00027F49" w:rsidP="00027F49" w14:paraId="33E67B90" w14:textId="77777777">
      <w:pPr>
        <w:pStyle w:val="DisclosureBody"/>
      </w:pPr>
    </w:p>
    <w:p w:rsidR="00027F49" w:rsidP="00027F49" w14:paraId="2C1F2505"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a:stretch>
                      <a:fillRect/>
                    </a:stretch>
                  </pic:blipFill>
                  <pic:spPr>
                    <a:xfrm>
                      <a:off x="0" y="0"/>
                      <a:ext cx="5943600" cy="983615"/>
                    </a:xfrm>
                    <a:prstGeom prst="rect">
                      <a:avLst/>
                    </a:prstGeom>
                  </pic:spPr>
                </pic:pic>
              </a:graphicData>
            </a:graphic>
          </wp:inline>
        </w:drawing>
      </w:r>
    </w:p>
    <w:p w:rsidR="00027F49" w:rsidP="00027F49" w14:paraId="41DC0543" w14:textId="77777777">
      <w:pPr>
        <w:pStyle w:val="DisclaimerHeading"/>
      </w:pPr>
    </w:p>
    <w:p w:rsidR="00027F49" w:rsidRPr="009C15C4" w:rsidP="00027F49" w14:paraId="30C2AA04"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5"/>
                    <a:stretch>
                      <a:fillRect/>
                    </a:stretch>
                  </pic:blipFill>
                  <pic:spPr>
                    <a:xfrm>
                      <a:off x="0" y="0"/>
                      <a:ext cx="5943600" cy="1217930"/>
                    </a:xfrm>
                    <a:prstGeom prst="rect">
                      <a:avLst/>
                    </a:prstGeom>
                  </pic:spPr>
                </pic:pic>
              </a:graphicData>
            </a:graphic>
          </wp:inline>
        </w:drawing>
      </w:r>
    </w:p>
    <w:p w:rsidR="0057441E" w:rsidRPr="009C15C4" w:rsidP="009C15C4" w14:paraId="37012AA7"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2E057E57"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8"/>
      <w:footerReference w:type="even" r:id="rId19"/>
      <w:footerReference w:type="default" r:id="rId2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14:paraId="2208578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0122" w14:paraId="3512DF9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DB29E9" w14:paraId="562DFBAC" w14:textId="6F471623">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665AE">
      <w:rPr>
        <w:rStyle w:val="PageNumber"/>
        <w:noProof/>
      </w:rPr>
      <w:t>3</w:t>
    </w:r>
    <w:r>
      <w:rPr>
        <w:rStyle w:val="PageNumber"/>
      </w:rPr>
      <w:fldChar w:fldCharType="end"/>
    </w:r>
  </w:p>
  <w:bookmarkStart w:id="1" w:name="OLE_LINK1"/>
  <w:p w:rsidR="00B62597" w:rsidRPr="001678E8" w14:paraId="3D1CCC2D"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1"/>
    <w:r w:rsidR="00605EFE">
      <w:rPr>
        <w:rFonts w:ascii="Arial Narrow" w:hAnsi="Arial Narrow"/>
        <w:sz w:val="20"/>
      </w:rPr>
      <w:t>24</w:t>
    </w:r>
    <w:r w:rsidR="00991528">
      <w:rPr>
        <w:rFonts w:ascii="Arial Narrow" w:hAnsi="Arial Narrow"/>
        <w:sz w:val="20"/>
      </w:rPr>
      <w:tab/>
    </w:r>
    <w:r w:rsidR="00BA7AD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B66E13" w14:paraId="1D4062BB" w14:textId="317DD99B">
    <w:pPr>
      <w:pStyle w:val="PostingDate"/>
      <w:rPr>
        <w:sz w:val="16"/>
      </w:rPr>
    </w:pPr>
    <w:r w:rsidRPr="002C418F">
      <w:rPr>
        <w:szCs w:val="17"/>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25AE20D"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2C418F" w:rsidR="00F4190F">
      <w:rPr>
        <w:szCs w:val="17"/>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C418F" w:rsidR="00B66E13">
      <w:rPr>
        <w:szCs w:val="17"/>
      </w:rPr>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B66E13" w:rsidRPr="001D3B68" w:rsidP="00B66E13" w14:textId="77777777">
                          <w:pPr>
                            <w:pStyle w:val="HeaderTitle"/>
                            <w:jc w:val="center"/>
                            <w:rPr>
                              <w:rFonts w:ascii="Arial Narrow" w:hAnsi="Arial Narrow"/>
                              <w:b/>
                            </w:rPr>
                          </w:pPr>
                          <w:r>
                            <w:rPr>
                              <w:rFonts w:ascii="Arial Narrow" w:hAnsi="Arial Narrow"/>
                              <w:b/>
                            </w:rPr>
                            <w:t xml:space="preserve">Informational </w:t>
                          </w:r>
                          <w:r w:rsidR="008E74D7">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3360" filled="f" stroked="f">
              <v:textbox style="mso-fit-shape-to-text:t">
                <w:txbxContent>
                  <w:p w:rsidR="00B66E13" w:rsidRPr="001D3B68" w:rsidP="00B66E13" w14:paraId="28216D73" w14:textId="77777777">
                    <w:pPr>
                      <w:pStyle w:val="HeaderTitle"/>
                      <w:jc w:val="center"/>
                      <w:rPr>
                        <w:rFonts w:ascii="Arial Narrow" w:hAnsi="Arial Narrow"/>
                        <w:b/>
                      </w:rPr>
                    </w:pPr>
                    <w:r>
                      <w:rPr>
                        <w:rFonts w:ascii="Arial Narrow" w:hAnsi="Arial Narrow"/>
                        <w:b/>
                      </w:rPr>
                      <w:t xml:space="preserve">Informational </w:t>
                    </w:r>
                    <w:r w:rsidR="008E74D7">
                      <w:rPr>
                        <w:rFonts w:ascii="Arial Narrow" w:hAnsi="Arial Narrow"/>
                        <w:b/>
                      </w:rPr>
                      <w:t>Agenda</w:t>
                    </w:r>
                  </w:p>
                </w:txbxContent>
              </v:textbox>
            </v:shape>
          </w:pict>
        </mc:Fallback>
      </mc:AlternateContent>
    </w:r>
    <w:r w:rsidRPr="002C418F">
      <w:rPr>
        <w:szCs w:val="17"/>
      </w:rPr>
      <w:drawing>
        <wp:anchor distT="0" distB="0" distL="114300" distR="114300" simplePos="0" relativeHeight="251661312"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35D4B">
      <w:rPr>
        <w:szCs w:val="17"/>
      </w:rPr>
      <w:t>February</w:t>
    </w:r>
    <w:r w:rsidR="00203A06">
      <w:rPr>
        <w:szCs w:val="17"/>
      </w:rPr>
      <w:t xml:space="preserve"> </w:t>
    </w:r>
    <w:r w:rsidR="00AA2380">
      <w:t xml:space="preserve"> 13</w:t>
    </w:r>
    <w:r w:rsidR="00ED2C30">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251DA1"/>
    <w:multiLevelType w:val="hybridMultilevel"/>
    <w:tmpl w:val="D6FACE60"/>
    <w:lvl w:ilvl="0">
      <w:start w:val="1"/>
      <w:numFmt w:val="decimal"/>
      <w:lvlText w:val="%1)"/>
      <w:lvlJc w:val="left"/>
      <w:pPr>
        <w:ind w:left="763" w:hanging="360"/>
      </w:pPr>
      <w:rPr>
        <w:rFonts w:hint="default"/>
        <w:b w:val="0"/>
      </w:rPr>
    </w:lvl>
    <w:lvl w:ilvl="1" w:tentative="1">
      <w:start w:val="1"/>
      <w:numFmt w:val="lowerLetter"/>
      <w:lvlText w:val="%2."/>
      <w:lvlJc w:val="left"/>
      <w:pPr>
        <w:ind w:left="1483" w:hanging="360"/>
      </w:pPr>
    </w:lvl>
    <w:lvl w:ilvl="2" w:tentative="1">
      <w:start w:val="1"/>
      <w:numFmt w:val="lowerRoman"/>
      <w:lvlText w:val="%3."/>
      <w:lvlJc w:val="right"/>
      <w:pPr>
        <w:ind w:left="2203" w:hanging="180"/>
      </w:pPr>
    </w:lvl>
    <w:lvl w:ilvl="3" w:tentative="1">
      <w:start w:val="1"/>
      <w:numFmt w:val="decimal"/>
      <w:lvlText w:val="%4."/>
      <w:lvlJc w:val="left"/>
      <w:pPr>
        <w:ind w:left="2923" w:hanging="360"/>
      </w:pPr>
    </w:lvl>
    <w:lvl w:ilvl="4" w:tentative="1">
      <w:start w:val="1"/>
      <w:numFmt w:val="lowerLetter"/>
      <w:lvlText w:val="%5."/>
      <w:lvlJc w:val="left"/>
      <w:pPr>
        <w:ind w:left="3643" w:hanging="360"/>
      </w:pPr>
    </w:lvl>
    <w:lvl w:ilvl="5" w:tentative="1">
      <w:start w:val="1"/>
      <w:numFmt w:val="lowerRoman"/>
      <w:lvlText w:val="%6."/>
      <w:lvlJc w:val="right"/>
      <w:pPr>
        <w:ind w:left="4363" w:hanging="180"/>
      </w:pPr>
    </w:lvl>
    <w:lvl w:ilvl="6" w:tentative="1">
      <w:start w:val="1"/>
      <w:numFmt w:val="decimal"/>
      <w:lvlText w:val="%7."/>
      <w:lvlJc w:val="left"/>
      <w:pPr>
        <w:ind w:left="5083" w:hanging="360"/>
      </w:pPr>
    </w:lvl>
    <w:lvl w:ilvl="7" w:tentative="1">
      <w:start w:val="1"/>
      <w:numFmt w:val="lowerLetter"/>
      <w:lvlText w:val="%8."/>
      <w:lvlJc w:val="left"/>
      <w:pPr>
        <w:ind w:left="5803" w:hanging="360"/>
      </w:pPr>
    </w:lvl>
    <w:lvl w:ilvl="8" w:tentative="1">
      <w:start w:val="1"/>
      <w:numFmt w:val="lowerRoman"/>
      <w:lvlText w:val="%9."/>
      <w:lvlJc w:val="right"/>
      <w:pPr>
        <w:ind w:left="6523"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4337DD4"/>
    <w:multiLevelType w:val="hybridMultilevel"/>
    <w:tmpl w:val="FD8A468A"/>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8A86974"/>
    <w:multiLevelType w:val="hybridMultilevel"/>
    <w:tmpl w:val="CF6AA37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2C85646"/>
    <w:multiLevelType w:val="hybridMultilevel"/>
    <w:tmpl w:val="1FD450DC"/>
    <w:lvl w:ilvl="0">
      <w:start w:val="4"/>
      <w:numFmt w:val="decimal"/>
      <w:lvlText w:val="%1."/>
      <w:lvlJc w:val="left"/>
      <w:pPr>
        <w:ind w:left="720" w:hanging="360"/>
      </w:pPr>
      <w:rPr>
        <w:rFonts w:hint="default"/>
        <w:b/>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B0841A9"/>
    <w:multiLevelType w:val="hybridMultilevel"/>
    <w:tmpl w:val="717039BE"/>
    <w:lvl w:ilvl="0">
      <w:start w:val="1"/>
      <w:numFmt w:val="decimal"/>
      <w:lvlText w:val="%1."/>
      <w:lvlJc w:val="left"/>
      <w:pPr>
        <w:ind w:left="405" w:hanging="360"/>
      </w:pPr>
      <w:rPr>
        <w:rFonts w:hint="default"/>
        <w:b/>
        <w:color w:val="auto"/>
      </w:rPr>
    </w:lvl>
    <w:lvl w:ilvl="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10">
    <w:nsid w:val="4C3A149F"/>
    <w:multiLevelType w:val="hybridMultilevel"/>
    <w:tmpl w:val="5AA009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E47315A"/>
    <w:multiLevelType w:val="hybridMultilevel"/>
    <w:tmpl w:val="28B86B04"/>
    <w:lvl w:ilvl="0">
      <w:start w:val="3"/>
      <w:numFmt w:val="decimal"/>
      <w:lvlText w:val="%1."/>
      <w:lvlJc w:val="left"/>
      <w:pPr>
        <w:ind w:left="360" w:hanging="360"/>
      </w:pPr>
      <w:rPr>
        <w:rFonts w:hint="default"/>
        <w:b/>
        <w:strike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5562609D"/>
    <w:multiLevelType w:val="hybridMultilevel"/>
    <w:tmpl w:val="6CE2B95A"/>
    <w:lvl w:ilvl="0">
      <w:start w:val="1"/>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94212F5"/>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C200CB0"/>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EA53A2C"/>
    <w:multiLevelType w:val="hybridMultilevel"/>
    <w:tmpl w:val="ADFE8C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B045875"/>
    <w:multiLevelType w:val="hybridMultilevel"/>
    <w:tmpl w:val="0FC41238"/>
    <w:lvl w:ilvl="0">
      <w:start w:val="1"/>
      <w:numFmt w:val="decimal"/>
      <w:lvlText w:val="%1."/>
      <w:lvlJc w:val="left"/>
      <w:pPr>
        <w:ind w:left="720" w:hanging="360"/>
      </w:pPr>
      <w:rPr>
        <w:rFonts w:hint="default"/>
        <w:strike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6"/>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num>
  <w:num w:numId="5">
    <w:abstractNumId w:val="1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9"/>
  </w:num>
  <w:num w:numId="9">
    <w:abstractNumId w:val="5"/>
  </w:num>
  <w:num w:numId="10">
    <w:abstractNumId w:val="0"/>
  </w:num>
  <w:num w:numId="11">
    <w:abstractNumId w:val="6"/>
  </w:num>
  <w:num w:numId="12">
    <w:abstractNumId w:val="2"/>
  </w:num>
  <w:num w:numId="13">
    <w:abstractNumId w:val="13"/>
  </w:num>
  <w:num w:numId="14">
    <w:abstractNumId w:val="14"/>
  </w:num>
  <w:num w:numId="15">
    <w:abstractNumId w:val="3"/>
  </w:num>
  <w:num w:numId="16">
    <w:abstractNumId w:val="10"/>
  </w:num>
  <w:num w:numId="17">
    <w:abstractNumId w:val="15"/>
  </w:num>
  <w:num w:numId="18">
    <w:abstractNumId w:val="12"/>
  </w:num>
  <w:num w:numId="19">
    <w:abstractNumId w:val="6"/>
  </w:num>
  <w:num w:numId="20">
    <w:abstractNumId w:val="9"/>
  </w:num>
  <w:num w:numId="21">
    <w:abstractNumId w:val="18"/>
  </w:num>
  <w:num w:numId="22">
    <w:abstractNumId w:val="11"/>
  </w:num>
  <w:num w:numId="23">
    <w:abstractNumId w:val="1"/>
  </w:num>
  <w:num w:numId="24">
    <w:abstractNumId w:val="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AE"/>
    <w:rsid w:val="0000232C"/>
    <w:rsid w:val="000044D5"/>
    <w:rsid w:val="00010057"/>
    <w:rsid w:val="00013798"/>
    <w:rsid w:val="0001779D"/>
    <w:rsid w:val="00021BE9"/>
    <w:rsid w:val="000232DF"/>
    <w:rsid w:val="00027F49"/>
    <w:rsid w:val="00033184"/>
    <w:rsid w:val="000333FF"/>
    <w:rsid w:val="000423A8"/>
    <w:rsid w:val="00043FC9"/>
    <w:rsid w:val="00045328"/>
    <w:rsid w:val="00052A93"/>
    <w:rsid w:val="00054111"/>
    <w:rsid w:val="0006266A"/>
    <w:rsid w:val="0007764F"/>
    <w:rsid w:val="00092135"/>
    <w:rsid w:val="000B5B36"/>
    <w:rsid w:val="000D4565"/>
    <w:rsid w:val="000D5C90"/>
    <w:rsid w:val="000E058A"/>
    <w:rsid w:val="000E14E6"/>
    <w:rsid w:val="000E470D"/>
    <w:rsid w:val="000E5711"/>
    <w:rsid w:val="000E6D7C"/>
    <w:rsid w:val="000E78CC"/>
    <w:rsid w:val="0010053A"/>
    <w:rsid w:val="00115C4E"/>
    <w:rsid w:val="001328DA"/>
    <w:rsid w:val="00137F8C"/>
    <w:rsid w:val="001431B1"/>
    <w:rsid w:val="0016375F"/>
    <w:rsid w:val="00165435"/>
    <w:rsid w:val="00167682"/>
    <w:rsid w:val="001678E8"/>
    <w:rsid w:val="00172D97"/>
    <w:rsid w:val="00184B61"/>
    <w:rsid w:val="0018625E"/>
    <w:rsid w:val="00187300"/>
    <w:rsid w:val="00187507"/>
    <w:rsid w:val="001970F3"/>
    <w:rsid w:val="001A0199"/>
    <w:rsid w:val="001A4554"/>
    <w:rsid w:val="001B2242"/>
    <w:rsid w:val="001C0CC0"/>
    <w:rsid w:val="001D3B68"/>
    <w:rsid w:val="001D5AB3"/>
    <w:rsid w:val="001D6600"/>
    <w:rsid w:val="00203A06"/>
    <w:rsid w:val="002113BD"/>
    <w:rsid w:val="00223858"/>
    <w:rsid w:val="00236DEE"/>
    <w:rsid w:val="00240490"/>
    <w:rsid w:val="00246EAA"/>
    <w:rsid w:val="0025139E"/>
    <w:rsid w:val="00254D56"/>
    <w:rsid w:val="0026067C"/>
    <w:rsid w:val="0028534F"/>
    <w:rsid w:val="00286838"/>
    <w:rsid w:val="002B2F98"/>
    <w:rsid w:val="002C418F"/>
    <w:rsid w:val="002C6057"/>
    <w:rsid w:val="002E67AA"/>
    <w:rsid w:val="00305238"/>
    <w:rsid w:val="003109D2"/>
    <w:rsid w:val="00316B2B"/>
    <w:rsid w:val="003205FB"/>
    <w:rsid w:val="003234D8"/>
    <w:rsid w:val="003251CE"/>
    <w:rsid w:val="00327D85"/>
    <w:rsid w:val="00337321"/>
    <w:rsid w:val="00340D83"/>
    <w:rsid w:val="003442E8"/>
    <w:rsid w:val="00345732"/>
    <w:rsid w:val="00351032"/>
    <w:rsid w:val="0035641C"/>
    <w:rsid w:val="00380E7A"/>
    <w:rsid w:val="00382A30"/>
    <w:rsid w:val="003914CC"/>
    <w:rsid w:val="003937F9"/>
    <w:rsid w:val="003A168F"/>
    <w:rsid w:val="003A764F"/>
    <w:rsid w:val="003B2EBC"/>
    <w:rsid w:val="003B55E1"/>
    <w:rsid w:val="003C12B2"/>
    <w:rsid w:val="003D7E5C"/>
    <w:rsid w:val="003E7A73"/>
    <w:rsid w:val="004030D2"/>
    <w:rsid w:val="00410218"/>
    <w:rsid w:val="00410F6A"/>
    <w:rsid w:val="00414BFC"/>
    <w:rsid w:val="004340D4"/>
    <w:rsid w:val="00453611"/>
    <w:rsid w:val="00454B11"/>
    <w:rsid w:val="00454C0D"/>
    <w:rsid w:val="0046043F"/>
    <w:rsid w:val="00477113"/>
    <w:rsid w:val="00484349"/>
    <w:rsid w:val="00490A33"/>
    <w:rsid w:val="00491490"/>
    <w:rsid w:val="00494494"/>
    <w:rsid w:val="004969FA"/>
    <w:rsid w:val="004A62DA"/>
    <w:rsid w:val="004B1A71"/>
    <w:rsid w:val="004B38D8"/>
    <w:rsid w:val="004D4BE6"/>
    <w:rsid w:val="004E2A61"/>
    <w:rsid w:val="004E4EC5"/>
    <w:rsid w:val="005051BB"/>
    <w:rsid w:val="0050777E"/>
    <w:rsid w:val="005109FF"/>
    <w:rsid w:val="00527104"/>
    <w:rsid w:val="005523DD"/>
    <w:rsid w:val="00562CA4"/>
    <w:rsid w:val="0056402F"/>
    <w:rsid w:val="00564DEE"/>
    <w:rsid w:val="005652FA"/>
    <w:rsid w:val="0057441E"/>
    <w:rsid w:val="00593F23"/>
    <w:rsid w:val="005968E4"/>
    <w:rsid w:val="005A5D0D"/>
    <w:rsid w:val="005B2583"/>
    <w:rsid w:val="005C579D"/>
    <w:rsid w:val="005D2150"/>
    <w:rsid w:val="005D6D05"/>
    <w:rsid w:val="006024A0"/>
    <w:rsid w:val="00602967"/>
    <w:rsid w:val="00605EFE"/>
    <w:rsid w:val="00606F11"/>
    <w:rsid w:val="006209D9"/>
    <w:rsid w:val="0066581F"/>
    <w:rsid w:val="00665898"/>
    <w:rsid w:val="006773A2"/>
    <w:rsid w:val="006846D4"/>
    <w:rsid w:val="006A76FE"/>
    <w:rsid w:val="006B01C8"/>
    <w:rsid w:val="006B7030"/>
    <w:rsid w:val="006C7DFB"/>
    <w:rsid w:val="006D3A13"/>
    <w:rsid w:val="006E4ECD"/>
    <w:rsid w:val="006E6B35"/>
    <w:rsid w:val="006E7B6B"/>
    <w:rsid w:val="006F4608"/>
    <w:rsid w:val="006F7A52"/>
    <w:rsid w:val="0070472F"/>
    <w:rsid w:val="00712CAA"/>
    <w:rsid w:val="00716A8B"/>
    <w:rsid w:val="00716B91"/>
    <w:rsid w:val="00726147"/>
    <w:rsid w:val="00744A45"/>
    <w:rsid w:val="00754C6D"/>
    <w:rsid w:val="00755096"/>
    <w:rsid w:val="00761D9D"/>
    <w:rsid w:val="00765572"/>
    <w:rsid w:val="007703B4"/>
    <w:rsid w:val="00776910"/>
    <w:rsid w:val="007849E3"/>
    <w:rsid w:val="00786D64"/>
    <w:rsid w:val="00790F25"/>
    <w:rsid w:val="007A2201"/>
    <w:rsid w:val="007A34A3"/>
    <w:rsid w:val="007A4F0F"/>
    <w:rsid w:val="007C2047"/>
    <w:rsid w:val="007C2954"/>
    <w:rsid w:val="007C3F99"/>
    <w:rsid w:val="007D0E9F"/>
    <w:rsid w:val="007D4F70"/>
    <w:rsid w:val="007E20E5"/>
    <w:rsid w:val="007E7CAB"/>
    <w:rsid w:val="007F6F00"/>
    <w:rsid w:val="0080419C"/>
    <w:rsid w:val="00805D73"/>
    <w:rsid w:val="00806B73"/>
    <w:rsid w:val="008212BD"/>
    <w:rsid w:val="00822A95"/>
    <w:rsid w:val="00836A8E"/>
    <w:rsid w:val="00837B12"/>
    <w:rsid w:val="00837E78"/>
    <w:rsid w:val="00841282"/>
    <w:rsid w:val="00854D97"/>
    <w:rsid w:val="008552A3"/>
    <w:rsid w:val="008573F7"/>
    <w:rsid w:val="00862377"/>
    <w:rsid w:val="008665AE"/>
    <w:rsid w:val="008707E4"/>
    <w:rsid w:val="00882652"/>
    <w:rsid w:val="00890B49"/>
    <w:rsid w:val="00892D21"/>
    <w:rsid w:val="008D4BFC"/>
    <w:rsid w:val="008D65A9"/>
    <w:rsid w:val="008D6CD8"/>
    <w:rsid w:val="008E37F7"/>
    <w:rsid w:val="008E74D7"/>
    <w:rsid w:val="008F0469"/>
    <w:rsid w:val="008F51F2"/>
    <w:rsid w:val="008F6EDB"/>
    <w:rsid w:val="00912528"/>
    <w:rsid w:val="00917386"/>
    <w:rsid w:val="009473FE"/>
    <w:rsid w:val="00956D5B"/>
    <w:rsid w:val="0097354A"/>
    <w:rsid w:val="00985276"/>
    <w:rsid w:val="009855E4"/>
    <w:rsid w:val="00991528"/>
    <w:rsid w:val="009924EE"/>
    <w:rsid w:val="009A2D5A"/>
    <w:rsid w:val="009A5430"/>
    <w:rsid w:val="009C15C4"/>
    <w:rsid w:val="009D51B1"/>
    <w:rsid w:val="009F53F9"/>
    <w:rsid w:val="009F5566"/>
    <w:rsid w:val="00A00FAC"/>
    <w:rsid w:val="00A01EDB"/>
    <w:rsid w:val="00A05391"/>
    <w:rsid w:val="00A220B3"/>
    <w:rsid w:val="00A30464"/>
    <w:rsid w:val="00A317A9"/>
    <w:rsid w:val="00A41149"/>
    <w:rsid w:val="00A60939"/>
    <w:rsid w:val="00A63421"/>
    <w:rsid w:val="00A73B41"/>
    <w:rsid w:val="00AA0539"/>
    <w:rsid w:val="00AA2380"/>
    <w:rsid w:val="00AB5254"/>
    <w:rsid w:val="00AB6654"/>
    <w:rsid w:val="00AC2247"/>
    <w:rsid w:val="00AD2708"/>
    <w:rsid w:val="00AE4870"/>
    <w:rsid w:val="00B16D95"/>
    <w:rsid w:val="00B20316"/>
    <w:rsid w:val="00B223CE"/>
    <w:rsid w:val="00B22F9A"/>
    <w:rsid w:val="00B34E3C"/>
    <w:rsid w:val="00B42AF4"/>
    <w:rsid w:val="00B54D49"/>
    <w:rsid w:val="00B62597"/>
    <w:rsid w:val="00B62E32"/>
    <w:rsid w:val="00B66E13"/>
    <w:rsid w:val="00B9039E"/>
    <w:rsid w:val="00BA2595"/>
    <w:rsid w:val="00BA6146"/>
    <w:rsid w:val="00BA7ADD"/>
    <w:rsid w:val="00BB531B"/>
    <w:rsid w:val="00BB638E"/>
    <w:rsid w:val="00BF09DA"/>
    <w:rsid w:val="00BF331B"/>
    <w:rsid w:val="00C10306"/>
    <w:rsid w:val="00C1535F"/>
    <w:rsid w:val="00C307E9"/>
    <w:rsid w:val="00C35D4B"/>
    <w:rsid w:val="00C439EC"/>
    <w:rsid w:val="00C45666"/>
    <w:rsid w:val="00C52F00"/>
    <w:rsid w:val="00C5307B"/>
    <w:rsid w:val="00C6404D"/>
    <w:rsid w:val="00C72168"/>
    <w:rsid w:val="00C757F4"/>
    <w:rsid w:val="00C75A9D"/>
    <w:rsid w:val="00C767C6"/>
    <w:rsid w:val="00C81647"/>
    <w:rsid w:val="00CA343D"/>
    <w:rsid w:val="00CA49B9"/>
    <w:rsid w:val="00CB19DE"/>
    <w:rsid w:val="00CB475B"/>
    <w:rsid w:val="00CC1B47"/>
    <w:rsid w:val="00CD5C03"/>
    <w:rsid w:val="00CD7076"/>
    <w:rsid w:val="00CD7DD4"/>
    <w:rsid w:val="00CE7070"/>
    <w:rsid w:val="00CF1BC7"/>
    <w:rsid w:val="00CF1F6F"/>
    <w:rsid w:val="00CF313E"/>
    <w:rsid w:val="00CF5308"/>
    <w:rsid w:val="00D06EC8"/>
    <w:rsid w:val="00D07424"/>
    <w:rsid w:val="00D136EA"/>
    <w:rsid w:val="00D24EDF"/>
    <w:rsid w:val="00D251ED"/>
    <w:rsid w:val="00D32F1F"/>
    <w:rsid w:val="00D42220"/>
    <w:rsid w:val="00D44FD9"/>
    <w:rsid w:val="00D520B6"/>
    <w:rsid w:val="00D52CDA"/>
    <w:rsid w:val="00D66879"/>
    <w:rsid w:val="00D77189"/>
    <w:rsid w:val="00D831E4"/>
    <w:rsid w:val="00D83905"/>
    <w:rsid w:val="00D8710C"/>
    <w:rsid w:val="00D95949"/>
    <w:rsid w:val="00D968B3"/>
    <w:rsid w:val="00DB29E9"/>
    <w:rsid w:val="00DB54AD"/>
    <w:rsid w:val="00DD04E0"/>
    <w:rsid w:val="00DD2CF3"/>
    <w:rsid w:val="00DE34CF"/>
    <w:rsid w:val="00DF003D"/>
    <w:rsid w:val="00DF0B3F"/>
    <w:rsid w:val="00DF1431"/>
    <w:rsid w:val="00E1605D"/>
    <w:rsid w:val="00E24B76"/>
    <w:rsid w:val="00E32B6B"/>
    <w:rsid w:val="00E41600"/>
    <w:rsid w:val="00E463B2"/>
    <w:rsid w:val="00E507AE"/>
    <w:rsid w:val="00E5387A"/>
    <w:rsid w:val="00E55E84"/>
    <w:rsid w:val="00E5612B"/>
    <w:rsid w:val="00E82F42"/>
    <w:rsid w:val="00E87348"/>
    <w:rsid w:val="00E91714"/>
    <w:rsid w:val="00EA027A"/>
    <w:rsid w:val="00EA0484"/>
    <w:rsid w:val="00EA66F6"/>
    <w:rsid w:val="00EB0D01"/>
    <w:rsid w:val="00EB68B0"/>
    <w:rsid w:val="00ED2C30"/>
    <w:rsid w:val="00EF40BC"/>
    <w:rsid w:val="00EF670C"/>
    <w:rsid w:val="00EF7070"/>
    <w:rsid w:val="00F0153F"/>
    <w:rsid w:val="00F20173"/>
    <w:rsid w:val="00F2674C"/>
    <w:rsid w:val="00F31875"/>
    <w:rsid w:val="00F33DC8"/>
    <w:rsid w:val="00F4190F"/>
    <w:rsid w:val="00F44396"/>
    <w:rsid w:val="00F53F9A"/>
    <w:rsid w:val="00F57A3F"/>
    <w:rsid w:val="00F62DAC"/>
    <w:rsid w:val="00F63584"/>
    <w:rsid w:val="00F7443D"/>
    <w:rsid w:val="00F77266"/>
    <w:rsid w:val="00F867EA"/>
    <w:rsid w:val="00F91D9D"/>
    <w:rsid w:val="00FC2B9A"/>
    <w:rsid w:val="00FC4406"/>
    <w:rsid w:val="00FC6630"/>
    <w:rsid w:val="00FD0122"/>
    <w:rsid w:val="00FD14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C4B2D5"/>
  <w15:docId w15:val="{A6344317-C050-45B2-BD04-63CEA02D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rmalWeb">
    <w:name w:val="Normal (Web)"/>
    <w:basedOn w:val="Normal"/>
    <w:uiPriority w:val="99"/>
    <w:unhideWhenUsed/>
    <w:rsid w:val="00F744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gDate">
    <w:name w:val="Posting Date"/>
    <w:basedOn w:val="Normal"/>
    <w:link w:val="PostingDateChar"/>
    <w:qFormat/>
    <w:rsid w:val="00B66E13"/>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B66E13"/>
    <w:rPr>
      <w:rFonts w:ascii="Arial Narrow" w:eastAsia="Times New Roman" w:hAnsi="Arial Narrow" w:cs="Times New Roman"/>
      <w:i/>
      <w:noProof/>
      <w:color w:val="013366" w:themeColor="accent1"/>
      <w:sz w:val="17"/>
      <w:szCs w:val="24"/>
    </w:rPr>
  </w:style>
  <w:style w:type="paragraph" w:styleId="ListParagraph">
    <w:name w:val="List Paragraph"/>
    <w:basedOn w:val="Normal"/>
    <w:uiPriority w:val="34"/>
    <w:qFormat/>
    <w:rsid w:val="0070472F"/>
    <w:pPr>
      <w:ind w:left="720"/>
      <w:contextualSpacing/>
    </w:pPr>
  </w:style>
  <w:style w:type="table" w:styleId="PlainTable4">
    <w:name w:val="Plain Table 4"/>
    <w:basedOn w:val="TableNormal"/>
    <w:uiPriority w:val="44"/>
    <w:rsid w:val="004B1A7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C35D4B"/>
    <w:rPr>
      <w:sz w:val="16"/>
      <w:szCs w:val="16"/>
    </w:rPr>
  </w:style>
  <w:style w:type="paragraph" w:styleId="CommentText">
    <w:name w:val="annotation text"/>
    <w:basedOn w:val="Normal"/>
    <w:link w:val="CommentTextChar"/>
    <w:uiPriority w:val="99"/>
    <w:semiHidden/>
    <w:unhideWhenUsed/>
    <w:rsid w:val="00C35D4B"/>
    <w:pPr>
      <w:spacing w:line="240" w:lineRule="auto"/>
    </w:pPr>
    <w:rPr>
      <w:sz w:val="20"/>
      <w:szCs w:val="20"/>
    </w:rPr>
  </w:style>
  <w:style w:type="character" w:customStyle="1" w:styleId="CommentTextChar">
    <w:name w:val="Comment Text Char"/>
    <w:basedOn w:val="DefaultParagraphFont"/>
    <w:link w:val="CommentText"/>
    <w:uiPriority w:val="99"/>
    <w:semiHidden/>
    <w:rsid w:val="00C35D4B"/>
    <w:rPr>
      <w:sz w:val="20"/>
      <w:szCs w:val="20"/>
    </w:rPr>
  </w:style>
  <w:style w:type="paragraph" w:styleId="CommentSubject">
    <w:name w:val="annotation subject"/>
    <w:basedOn w:val="CommentText"/>
    <w:next w:val="CommentText"/>
    <w:link w:val="CommentSubjectChar"/>
    <w:uiPriority w:val="99"/>
    <w:semiHidden/>
    <w:unhideWhenUsed/>
    <w:rsid w:val="00C35D4B"/>
    <w:rPr>
      <w:b/>
      <w:bCs/>
    </w:rPr>
  </w:style>
  <w:style w:type="character" w:customStyle="1" w:styleId="CommentSubjectChar">
    <w:name w:val="Comment Subject Char"/>
    <w:basedOn w:val="CommentTextChar"/>
    <w:link w:val="CommentSubject"/>
    <w:uiPriority w:val="99"/>
    <w:semiHidden/>
    <w:rsid w:val="00C35D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media/committees-groups/subcommittees/mss/2023/20231214/20231214-msrs-report-updates---dispatch-signal-uds-basepoint-and-uds-dispatch-lmp-desired-mw.ashx" TargetMode="External" /><Relationship Id="rId11" Type="http://schemas.openxmlformats.org/officeDocument/2006/relationships/hyperlink" Target="https://www.pjm.com/committees-and-groups/committees/mic" TargetMode="External" /><Relationship Id="rId12" Type="http://schemas.openxmlformats.org/officeDocument/2006/relationships/hyperlink" Target="https://pjm.com/-/media/committees-groups/subcommittees/mss/2024/20240213/20240213-2024-settlement-c-tracking.ashx" TargetMode="External" /><Relationship Id="rId13" Type="http://schemas.openxmlformats.org/officeDocument/2006/relationships/hyperlink" Target="https://www.pjm.com/about-pjm/who-we-are/code-of-conduct" TargetMode="External" /><Relationship Id="rId14" Type="http://schemas.openxmlformats.org/officeDocument/2006/relationships/image" Target="media/image1.png" /><Relationship Id="rId15" Type="http://schemas.openxmlformats.org/officeDocument/2006/relationships/image" Target="media/image2.png" /><Relationship Id="rId16" Type="http://schemas.openxmlformats.org/officeDocument/2006/relationships/hyperlink" Target="https://www.pjm.com/committees-and-groups/committees/form-facilitator-feedback.aspx" TargetMode="External" /><Relationship Id="rId17" Type="http://schemas.openxmlformats.org/officeDocument/2006/relationships/hyperlink" Target="https://learn.pjm.com/" TargetMode="External" /><Relationship Id="rId18" Type="http://schemas.openxmlformats.org/officeDocument/2006/relationships/header" Target="header1.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www.pjm.com/-/media/documents/ferc/orders/2023/20231219-er23-2975-000.ashx" TargetMode="External" /><Relationship Id="rId5" Type="http://schemas.openxmlformats.org/officeDocument/2006/relationships/hyperlink" Target="https://www.pjm.com/markets-and-operations/winter-storm-elliott" TargetMode="External" /><Relationship Id="rId6" Type="http://schemas.openxmlformats.org/officeDocument/2006/relationships/hyperlink" Target="https://www.pjm.com/-/media/markets-ops/winter-storm-elliott/ferc-settlement-faq.ashx" TargetMode="External" /><Relationship Id="rId7" Type="http://schemas.openxmlformats.org/officeDocument/2006/relationships/hyperlink" Target="https://www.pjm.com/-/media/markets-ops/winter-storm-elliott/settlement-reduced-non-performance-assessment-charges-and-credits.ashx" TargetMode="External" /><Relationship Id="rId8" Type="http://schemas.openxmlformats.org/officeDocument/2006/relationships/hyperlink" Target="https://www.pjm.com/committees-and-groups/committees/rmc" TargetMode="External" /><Relationship Id="rId9" Type="http://schemas.openxmlformats.org/officeDocument/2006/relationships/hyperlink" Target="https://pjm.com/-/media/committees-groups/subcommittees/mss/2024/20240213/20240213-pai-settlement-implementation.ash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iscin\AppData\Local\Microsoft\Windows\INetCache\IE\ZKD5B7BK\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