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August</w:t>
      </w:r>
      <w:r w:rsidR="005051BB">
        <w:t xml:space="preserve"> </w:t>
      </w:r>
      <w:r w:rsidR="006E7B6B">
        <w:t>1</w:t>
      </w:r>
      <w:r>
        <w:t>6</w:t>
      </w:r>
      <w:r w:rsidR="00837E78">
        <w:t>,</w:t>
      </w:r>
      <w:r w:rsidR="002B2F98">
        <w:t xml:space="preserve"> </w:t>
      </w:r>
      <w:r w:rsidR="0010053A">
        <w:t>2023</w:t>
      </w:r>
    </w:p>
    <w:p w:rsidR="00B62597" w:rsidRPr="00B62597" w:rsidP="00453611">
      <w:pPr>
        <w:pStyle w:val="MeetingDetails"/>
        <w:tabs>
          <w:tab w:val="left" w:pos="4155"/>
        </w:tabs>
        <w:rPr>
          <w:sz w:val="28"/>
          <w:u w:val="single"/>
        </w:rPr>
      </w:pPr>
      <w:r>
        <w:t>3</w:t>
      </w:r>
      <w:r w:rsidR="003C12B2">
        <w:t>:00</w:t>
      </w:r>
      <w:r w:rsidR="002B2F98">
        <w:t xml:space="preserve"> </w:t>
      </w:r>
      <w:r w:rsidR="00187300">
        <w:t>p</w:t>
      </w:r>
      <w:r w:rsidR="002B2F98">
        <w:t xml:space="preserve">.m. – </w:t>
      </w:r>
      <w:r>
        <w:t>4</w:t>
      </w:r>
      <w:r w:rsidR="00FD14A5">
        <w:t>:</w:t>
      </w:r>
      <w:r>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A01EDB">
        <w:t>3</w:t>
      </w:r>
      <w:r w:rsidR="00E507AE">
        <w:t>:00</w:t>
      </w:r>
      <w:r w:rsidR="00FC4406">
        <w:t xml:space="preserve"> – </w:t>
      </w:r>
      <w:r w:rsidR="00A01EDB">
        <w:t>3</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5051BB" w:rsidP="00CA343D">
      <w:pPr>
        <w:pStyle w:val="PrimaryHeading"/>
      </w:pPr>
      <w:r>
        <w:t>Working Issues (</w:t>
      </w:r>
      <w:r w:rsidR="00A01EDB">
        <w:t>3</w:t>
      </w:r>
      <w:r w:rsidR="007A2201">
        <w:t xml:space="preserve">:10 – </w:t>
      </w:r>
      <w:r w:rsidR="00A01EDB">
        <w:t>3</w:t>
      </w:r>
      <w:r w:rsidR="00593F23">
        <w:t>:45</w:t>
      </w:r>
      <w:r w:rsidR="001D3B68">
        <w:t>)</w:t>
      </w:r>
    </w:p>
    <w:p w:rsidR="0010053A" w:rsidRPr="004A62DA" w:rsidP="004A62DA">
      <w:pPr>
        <w:pStyle w:val="ListSubhead1"/>
        <w:numPr>
          <w:ilvl w:val="0"/>
          <w:numId w:val="0"/>
        </w:numPr>
        <w:ind w:left="360" w:hanging="360"/>
      </w:pPr>
      <w:r>
        <w:t>1</w:t>
      </w:r>
      <w:r w:rsidRPr="00B223CE" w:rsidR="00B223CE">
        <w:t>.</w:t>
      </w:r>
      <w:r w:rsidRPr="00B223CE" w:rsidR="00B223CE">
        <w:tab/>
      </w:r>
      <w:r w:rsidR="005523DD">
        <w:t>Upcoming Transmission Enhancement Charge (TEC) Adjustments</w:t>
      </w:r>
      <w:r w:rsidR="006846D4">
        <w:t xml:space="preserve"> </w:t>
      </w:r>
      <w:r w:rsidR="004A62DA">
        <w:t>(3</w:t>
      </w:r>
      <w:r w:rsidR="004340D4">
        <w:t>:1</w:t>
      </w:r>
      <w:r>
        <w:t>0</w:t>
      </w:r>
      <w:r w:rsidR="004A62DA">
        <w:t xml:space="preserve"> – 3</w:t>
      </w:r>
      <w:r>
        <w:t>:</w:t>
      </w:r>
      <w:r w:rsidR="004A62DA">
        <w:t>2</w:t>
      </w:r>
      <w:r>
        <w:t>0</w:t>
      </w:r>
      <w:r w:rsidRPr="00B223CE" w:rsidR="00B223CE">
        <w:t>)</w:t>
      </w:r>
    </w:p>
    <w:p w:rsidR="00716B91" w:rsidRPr="0026067C" w:rsidP="004A62DA">
      <w:pPr>
        <w:pStyle w:val="ListSubhead1"/>
        <w:numPr>
          <w:ilvl w:val="0"/>
          <w:numId w:val="0"/>
        </w:numPr>
        <w:ind w:left="360" w:hanging="360"/>
        <w:rPr>
          <w:b w:val="0"/>
        </w:rPr>
      </w:pPr>
      <w:r>
        <w:rPr>
          <w:b w:val="0"/>
        </w:rPr>
        <w:t xml:space="preserve">       </w:t>
      </w:r>
      <w:r w:rsidR="005523DD">
        <w:rPr>
          <w:b w:val="0"/>
        </w:rPr>
        <w:t>Natasha Holter</w:t>
      </w:r>
      <w:r w:rsidRPr="0026067C" w:rsidR="00187300">
        <w:rPr>
          <w:b w:val="0"/>
        </w:rPr>
        <w:t xml:space="preserve">, PJM, will </w:t>
      </w:r>
      <w:r>
        <w:rPr>
          <w:b w:val="0"/>
        </w:rPr>
        <w:t>provide an overview on</w:t>
      </w:r>
      <w:r w:rsidR="00A60939">
        <w:rPr>
          <w:b w:val="0"/>
        </w:rPr>
        <w:t xml:space="preserve"> upcoming TEC adjustments</w:t>
      </w:r>
      <w:r w:rsidR="005523DD">
        <w:rPr>
          <w:b w:val="0"/>
        </w:rPr>
        <w:t xml:space="preserve"> stemming from the FERC Order on remand in docket EL05-121-014.</w:t>
      </w:r>
    </w:p>
    <w:p w:rsidR="004340D4" w:rsidP="004340D4">
      <w:pPr>
        <w:pStyle w:val="ListSubhead1"/>
        <w:numPr>
          <w:ilvl w:val="0"/>
          <w:numId w:val="0"/>
        </w:numPr>
        <w:ind w:left="360" w:hanging="360"/>
      </w:pPr>
      <w:r>
        <w:rPr>
          <w:b w:val="0"/>
        </w:rPr>
        <w:t>2</w:t>
      </w:r>
      <w:r>
        <w:rPr>
          <w:b w:val="0"/>
        </w:rPr>
        <w:t xml:space="preserve">. </w:t>
      </w:r>
      <w:r>
        <w:rPr>
          <w:b w:val="0"/>
        </w:rPr>
        <w:tab/>
      </w:r>
      <w:r w:rsidR="004A62DA">
        <w:t>FTR</w:t>
      </w:r>
      <w:r w:rsidR="00187300">
        <w:t xml:space="preserve"> </w:t>
      </w:r>
      <w:r w:rsidR="004A62DA">
        <w:t>Forfeiture MSRS R</w:t>
      </w:r>
      <w:r w:rsidR="00187300">
        <w:t xml:space="preserve">eport </w:t>
      </w:r>
      <w:r w:rsidR="004A62DA">
        <w:t>(3:20 – 3:3</w:t>
      </w:r>
      <w:r>
        <w:t>0</w:t>
      </w:r>
      <w:r>
        <w:t>)</w:t>
      </w:r>
    </w:p>
    <w:p w:rsidR="00AA0539" w:rsidP="004B1A71">
      <w:pPr>
        <w:pStyle w:val="ListSubhead1"/>
        <w:numPr>
          <w:ilvl w:val="0"/>
          <w:numId w:val="0"/>
        </w:numPr>
        <w:ind w:left="360" w:hanging="360"/>
        <w:rPr>
          <w:b w:val="0"/>
        </w:rPr>
      </w:pPr>
      <w:r>
        <w:tab/>
      </w:r>
      <w:r w:rsidR="00716B91">
        <w:rPr>
          <w:b w:val="0"/>
        </w:rPr>
        <w:t>Nick DiSciullo</w:t>
      </w:r>
      <w:r w:rsidRPr="00AA0539">
        <w:rPr>
          <w:b w:val="0"/>
        </w:rPr>
        <w:t>,</w:t>
      </w:r>
      <w:r>
        <w:t xml:space="preserve"> </w:t>
      </w:r>
      <w:r>
        <w:rPr>
          <w:b w:val="0"/>
        </w:rPr>
        <w:t xml:space="preserve">PJM, will </w:t>
      </w:r>
      <w:r w:rsidR="00C6404D">
        <w:rPr>
          <w:b w:val="0"/>
        </w:rPr>
        <w:t xml:space="preserve">review </w:t>
      </w:r>
      <w:r w:rsidR="004A62DA">
        <w:rPr>
          <w:b w:val="0"/>
        </w:rPr>
        <w:t>new MSRS reports providing additional details related to FTR Forfeiture settlements</w:t>
      </w:r>
      <w:r w:rsidR="00187300">
        <w:rPr>
          <w:b w:val="0"/>
        </w:rPr>
        <w:t>.</w:t>
      </w:r>
    </w:p>
    <w:p w:rsidR="004A62DA" w:rsidP="004B1A71">
      <w:pPr>
        <w:pStyle w:val="ListSubhead1"/>
        <w:numPr>
          <w:ilvl w:val="0"/>
          <w:numId w:val="0"/>
        </w:numPr>
        <w:ind w:left="360" w:hanging="360"/>
        <w:rPr>
          <w:b w:val="0"/>
        </w:rPr>
      </w:pPr>
      <w:r>
        <w:rPr>
          <w:b w:val="0"/>
        </w:rPr>
        <w:t xml:space="preserve">3. </w:t>
      </w:r>
      <w:r>
        <w:rPr>
          <w:b w:val="0"/>
        </w:rPr>
        <w:tab/>
      </w:r>
      <w:r>
        <w:t>M28 Period Review (3:30 – 3:45)</w:t>
      </w:r>
    </w:p>
    <w:p w:rsidR="004A62DA" w:rsidRPr="004A62DA" w:rsidP="004B1A71">
      <w:pPr>
        <w:pStyle w:val="ListSubhead1"/>
        <w:numPr>
          <w:ilvl w:val="0"/>
          <w:numId w:val="0"/>
        </w:numPr>
        <w:ind w:left="360" w:hanging="360"/>
        <w:rPr>
          <w:b w:val="0"/>
        </w:rPr>
      </w:pPr>
      <w:r>
        <w:rPr>
          <w:b w:val="0"/>
        </w:rPr>
        <w:tab/>
      </w:r>
      <w:r w:rsidRPr="004A62DA">
        <w:rPr>
          <w:b w:val="0"/>
        </w:rPr>
        <w:t>Suzanne Coyne, PJM, will review revisions to Manual 28: Operating Agreement Accounting resulting from the periodic review and the Undefined RegA Mi</w:t>
      </w:r>
      <w:r w:rsidR="0006266A">
        <w:rPr>
          <w:b w:val="0"/>
        </w:rPr>
        <w:t>leage Ratio FERC order EL21-83-</w:t>
      </w:r>
      <w:r w:rsidRPr="004A62DA">
        <w:rPr>
          <w:b w:val="0"/>
        </w:rPr>
        <w:t>000 effective on April 4, 2023.</w:t>
      </w:r>
    </w:p>
    <w:p w:rsidR="00F7443D" w:rsidRPr="00DB29E9" w:rsidP="00F7443D">
      <w:pPr>
        <w:pStyle w:val="PrimaryHeading"/>
      </w:pPr>
      <w:r>
        <w:t>Informational Updates</w:t>
      </w:r>
    </w:p>
    <w:p w:rsidR="00F53F9A" w:rsidRPr="00B313DF" w:rsidP="00593F23">
      <w:pPr>
        <w:pStyle w:val="SecondaryHeading-Numbered"/>
        <w:numPr>
          <w:ilvl w:val="0"/>
          <w:numId w:val="21"/>
        </w:numPr>
        <w:ind w:left="360"/>
        <w:rPr>
          <w:strike/>
        </w:rPr>
      </w:pPr>
      <w:r>
        <w:t>Links and Supporting Information for the continued billing of Winter Storm Elliott PAIs</w:t>
      </w:r>
    </w:p>
    <w:p w:rsidR="00F53F9A" w:rsidP="00F53F9A">
      <w:pPr>
        <w:pStyle w:val="SecondaryHeading-Numbered"/>
        <w:numPr>
          <w:ilvl w:val="0"/>
          <w:numId w:val="0"/>
        </w:numPr>
        <w:ind w:left="450"/>
        <w:rPr>
          <w:b w:val="0"/>
        </w:rPr>
      </w:pPr>
      <w:r>
        <w:rPr>
          <w:b w:val="0"/>
        </w:rPr>
        <w:t>The below links provide additional information in support of the continued monthly settlement distributions related to the Winter Storm Elliott PAI events.</w:t>
      </w:r>
    </w:p>
    <w:p w:rsidR="00F53F9A" w:rsidP="00F53F9A">
      <w:pPr>
        <w:pStyle w:val="SecondaryHeading-Numbered"/>
        <w:numPr>
          <w:ilvl w:val="0"/>
          <w:numId w:val="0"/>
        </w:numPr>
        <w:ind w:left="720"/>
        <w:rPr>
          <w:b w:val="0"/>
        </w:rPr>
      </w:pPr>
      <w:hyperlink r:id="rId4" w:history="1">
        <w:r w:rsidRPr="00B313DF">
          <w:rPr>
            <w:rStyle w:val="Hyperlink"/>
            <w:b w:val="0"/>
          </w:rPr>
          <w:t>Monthly Non-Performance Assessment Charges</w:t>
        </w:r>
      </w:hyperlink>
    </w:p>
    <w:p w:rsidR="00F53F9A" w:rsidP="00F53F9A">
      <w:pPr>
        <w:pStyle w:val="SecondaryHeading-Numbered"/>
        <w:numPr>
          <w:ilvl w:val="0"/>
          <w:numId w:val="0"/>
        </w:numPr>
        <w:ind w:left="720"/>
        <w:rPr>
          <w:b w:val="0"/>
        </w:rPr>
      </w:pPr>
      <w:hyperlink r:id="rId5" w:history="1">
        <w:r w:rsidR="00593F23">
          <w:rPr>
            <w:rStyle w:val="Hyperlink"/>
            <w:b w:val="0"/>
          </w:rPr>
          <w:t>July</w:t>
        </w:r>
        <w:r w:rsidRPr="00B313DF">
          <w:rPr>
            <w:rStyle w:val="Hyperlink"/>
            <w:b w:val="0"/>
          </w:rPr>
          <w:t xml:space="preserve"> Risk Management Committee PAI Settlements</w:t>
        </w:r>
      </w:hyperlink>
    </w:p>
    <w:p w:rsidR="00F53F9A" w:rsidRPr="00593F23" w:rsidP="00593F23">
      <w:pPr>
        <w:pStyle w:val="SecondaryHeading-Numbered"/>
        <w:numPr>
          <w:ilvl w:val="0"/>
          <w:numId w:val="0"/>
        </w:numPr>
        <w:ind w:left="720"/>
        <w:rPr>
          <w:b w:val="0"/>
          <w:strike/>
        </w:rPr>
      </w:pPr>
      <w:hyperlink r:id="rId6" w:history="1">
        <w:r w:rsidR="00593F23">
          <w:rPr>
            <w:rStyle w:val="Hyperlink"/>
            <w:b w:val="0"/>
          </w:rPr>
          <w:t>July</w:t>
        </w:r>
        <w:r w:rsidRPr="00B313DF">
          <w:rPr>
            <w:rStyle w:val="Hyperlink"/>
            <w:b w:val="0"/>
          </w:rPr>
          <w:t xml:space="preserve"> </w:t>
        </w:r>
        <w:r>
          <w:rPr>
            <w:rStyle w:val="Hyperlink"/>
            <w:b w:val="0"/>
          </w:rPr>
          <w:t xml:space="preserve">RMC </w:t>
        </w:r>
        <w:r w:rsidRPr="00B313DF">
          <w:rPr>
            <w:rStyle w:val="Hyperlink"/>
            <w:b w:val="0"/>
          </w:rPr>
          <w:t xml:space="preserve">Initial Vs Final </w:t>
        </w:r>
        <w:r>
          <w:rPr>
            <w:rStyle w:val="Hyperlink"/>
            <w:b w:val="0"/>
          </w:rPr>
          <w:t xml:space="preserve">Bonus </w:t>
        </w:r>
        <w:r w:rsidRPr="00B313DF">
          <w:rPr>
            <w:rStyle w:val="Hyperlink"/>
            <w:b w:val="0"/>
          </w:rPr>
          <w:t>Holdback and Cumulative Billing</w:t>
        </w:r>
      </w:hyperlink>
      <w:r>
        <w:rPr>
          <w:b w:val="0"/>
        </w:rPr>
        <w:t xml:space="preserve"> </w:t>
      </w:r>
    </w:p>
    <w:p w:rsidR="00F53F9A" w:rsidP="00F53F9A">
      <w:pPr>
        <w:pStyle w:val="ListParagraph"/>
        <w:ind w:left="405"/>
        <w:rPr>
          <w:rFonts w:ascii="Arial Narrow" w:hAnsi="Arial Narrow" w:cs="Calibri"/>
          <w:b/>
        </w:rPr>
      </w:pPr>
    </w:p>
    <w:p w:rsidR="00454C0D" w:rsidRPr="00593F23" w:rsidP="00593F23">
      <w:pPr>
        <w:pStyle w:val="ListParagraph"/>
        <w:numPr>
          <w:ilvl w:val="0"/>
          <w:numId w:val="21"/>
        </w:numPr>
        <w:ind w:left="360"/>
        <w:rPr>
          <w:rFonts w:ascii="Arial Narrow" w:hAnsi="Arial Narrow" w:cs="Calibri"/>
          <w:b/>
        </w:rPr>
      </w:pPr>
      <w:r w:rsidRPr="00593F23">
        <w:rPr>
          <w:rFonts w:ascii="Arial Narrow" w:hAnsi="Arial Narrow" w:cs="Calibri"/>
          <w:b/>
        </w:rPr>
        <w:t>Settlement C Updates</w:t>
      </w:r>
    </w:p>
    <w:p w:rsidR="00593F23" w:rsidP="00454C0D">
      <w:pPr>
        <w:pStyle w:val="ListParagraph"/>
        <w:ind w:left="405"/>
        <w:rPr>
          <w:rFonts w:ascii="Arial Narrow" w:hAnsi="Arial Narrow" w:cs="Calibri"/>
        </w:rPr>
      </w:pPr>
    </w:p>
    <w:p w:rsidR="000E058A" w:rsidP="00454C0D">
      <w:pPr>
        <w:pStyle w:val="ListParagraph"/>
        <w:ind w:left="405"/>
        <w:rPr>
          <w:rFonts w:ascii="Arial Narrow" w:hAnsi="Arial Narrow" w:cs="Calibri"/>
        </w:rPr>
      </w:pPr>
      <w:r>
        <w:rPr>
          <w:rFonts w:ascii="Arial Narrow" w:hAnsi="Arial Narrow" w:cs="Calibri"/>
        </w:rPr>
        <w:t xml:space="preserve"> </w:t>
      </w:r>
      <w:r w:rsidR="00C52F00">
        <w:rPr>
          <w:rFonts w:ascii="Arial Narrow" w:hAnsi="Arial Narrow" w:cs="Calibri"/>
        </w:rPr>
        <w:t>No</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sidR="00454C0D">
        <w:rPr>
          <w:rFonts w:ascii="Arial Narrow" w:hAnsi="Arial Narrow" w:cs="Calibri"/>
        </w:rPr>
        <w:t xml:space="preserve">in the </w:t>
      </w:r>
      <w:r w:rsidR="00A01EDB">
        <w:rPr>
          <w:rFonts w:ascii="Arial Narrow" w:hAnsi="Arial Narrow" w:cs="Calibri"/>
        </w:rPr>
        <w:t>July</w:t>
      </w:r>
      <w:r w:rsidR="00716B91">
        <w:rPr>
          <w:rFonts w:ascii="Arial Narrow" w:hAnsi="Arial Narrow" w:cs="Calibri"/>
        </w:rPr>
        <w:t xml:space="preserve"> 2023</w:t>
      </w:r>
      <w:r w:rsidR="00454C0D">
        <w:rPr>
          <w:rFonts w:ascii="Arial Narrow" w:hAnsi="Arial Narrow" w:cs="Calibri"/>
        </w:rPr>
        <w:t xml:space="preserve"> billing cycle</w:t>
      </w:r>
      <w:r w:rsidR="00C52F00">
        <w:rPr>
          <w:rFonts w:ascii="Arial Narrow" w:hAnsi="Arial Narrow" w:cs="Calibri"/>
        </w:rPr>
        <w:t>.</w:t>
      </w:r>
    </w:p>
    <w:p w:rsidR="00C52F00"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r>
        <w:t xml:space="preserve"> </w:t>
      </w:r>
      <w:hyperlink r:id="rId7" w:history="1">
        <w:r w:rsidRPr="008F0469" w:rsidR="000E058A">
          <w:rPr>
            <w:rStyle w:val="Hyperlink"/>
            <w:rFonts w:ascii="Arial Narrow" w:hAnsi="Arial Narrow" w:cs="Calibri"/>
          </w:rPr>
          <w:t>Settlement C Adjustment Tracking</w:t>
        </w:r>
      </w:hyperlink>
      <w:bookmarkStart w:id="2" w:name="_GoBack"/>
      <w:bookmarkEnd w:id="2"/>
      <w:r w:rsidRPr="00A220B3" w:rsidR="00236DEE">
        <w:rPr>
          <w:rFonts w:ascii="Arial Narrow" w:hAnsi="Arial Narrow" w:cs="Calibri"/>
        </w:rPr>
        <w:t xml:space="preserve"> </w:t>
      </w:r>
    </w:p>
    <w:p w:rsidR="00B223CE" w:rsidRPr="00F53F9A" w:rsidP="00F53F9A">
      <w:pPr>
        <w:rPr>
          <w:rFonts w:ascii="Arial Narrow" w:hAnsi="Arial Narrow" w:cs="Calibri"/>
        </w:rPr>
      </w:pPr>
    </w:p>
    <w:p w:rsidR="0026067C" w:rsidRPr="00C6404D" w:rsidP="00C6404D">
      <w:pPr>
        <w:pStyle w:val="ListParagraph"/>
        <w:ind w:left="405"/>
        <w:rPr>
          <w:rFonts w:ascii="Arial Narrow" w:hAnsi="Arial Narrow" w:cs="Calibri"/>
        </w:rPr>
      </w:pP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September 11,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16,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20,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14,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419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3DD">
      <w:t>August 11</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6266A"/>
    <w:rsid w:val="0007764F"/>
    <w:rsid w:val="00092135"/>
    <w:rsid w:val="000B5B36"/>
    <w:rsid w:val="000D4565"/>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7300"/>
    <w:rsid w:val="00187507"/>
    <w:rsid w:val="001A0199"/>
    <w:rsid w:val="001A4554"/>
    <w:rsid w:val="001B2242"/>
    <w:rsid w:val="001C0CC0"/>
    <w:rsid w:val="001D3B68"/>
    <w:rsid w:val="001D5AB3"/>
    <w:rsid w:val="002113BD"/>
    <w:rsid w:val="00223858"/>
    <w:rsid w:val="00236DEE"/>
    <w:rsid w:val="00240490"/>
    <w:rsid w:val="0025139E"/>
    <w:rsid w:val="00254D56"/>
    <w:rsid w:val="0026067C"/>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10218"/>
    <w:rsid w:val="00410F6A"/>
    <w:rsid w:val="004340D4"/>
    <w:rsid w:val="00453611"/>
    <w:rsid w:val="00454B11"/>
    <w:rsid w:val="00454C0D"/>
    <w:rsid w:val="0046043F"/>
    <w:rsid w:val="00477113"/>
    <w:rsid w:val="00484349"/>
    <w:rsid w:val="00490A33"/>
    <w:rsid w:val="00491490"/>
    <w:rsid w:val="00494494"/>
    <w:rsid w:val="004969FA"/>
    <w:rsid w:val="004A62DA"/>
    <w:rsid w:val="004B1A71"/>
    <w:rsid w:val="004D4BE6"/>
    <w:rsid w:val="004E2A61"/>
    <w:rsid w:val="004E4EC5"/>
    <w:rsid w:val="005051BB"/>
    <w:rsid w:val="005109FF"/>
    <w:rsid w:val="00527104"/>
    <w:rsid w:val="005523DD"/>
    <w:rsid w:val="00562CA4"/>
    <w:rsid w:val="0056402F"/>
    <w:rsid w:val="00564DEE"/>
    <w:rsid w:val="005652FA"/>
    <w:rsid w:val="0057441E"/>
    <w:rsid w:val="00593F23"/>
    <w:rsid w:val="005968E4"/>
    <w:rsid w:val="005A5D0D"/>
    <w:rsid w:val="005D2150"/>
    <w:rsid w:val="005D6D05"/>
    <w:rsid w:val="006024A0"/>
    <w:rsid w:val="00602967"/>
    <w:rsid w:val="00606F11"/>
    <w:rsid w:val="0066581F"/>
    <w:rsid w:val="00665898"/>
    <w:rsid w:val="006773A2"/>
    <w:rsid w:val="006846D4"/>
    <w:rsid w:val="006A76FE"/>
    <w:rsid w:val="006B01C8"/>
    <w:rsid w:val="006B7030"/>
    <w:rsid w:val="006C7DFB"/>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86D64"/>
    <w:rsid w:val="00790F25"/>
    <w:rsid w:val="007A2201"/>
    <w:rsid w:val="007A34A3"/>
    <w:rsid w:val="007A4F0F"/>
    <w:rsid w:val="007C2047"/>
    <w:rsid w:val="007C2954"/>
    <w:rsid w:val="007C3F99"/>
    <w:rsid w:val="007D4F70"/>
    <w:rsid w:val="007E20E5"/>
    <w:rsid w:val="007E7CAB"/>
    <w:rsid w:val="0080419C"/>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51F2"/>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B5254"/>
    <w:rsid w:val="00AC2247"/>
    <w:rsid w:val="00AD2708"/>
    <w:rsid w:val="00AE4870"/>
    <w:rsid w:val="00B16D95"/>
    <w:rsid w:val="00B20316"/>
    <w:rsid w:val="00B223CE"/>
    <w:rsid w:val="00B22F9A"/>
    <w:rsid w:val="00B313DF"/>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44FD9"/>
    <w:rsid w:val="00D520B6"/>
    <w:rsid w:val="00D66879"/>
    <w:rsid w:val="00D831E4"/>
    <w:rsid w:val="00D83905"/>
    <w:rsid w:val="00D95949"/>
    <w:rsid w:val="00D968B3"/>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670C"/>
    <w:rsid w:val="00EF7070"/>
    <w:rsid w:val="00F0153F"/>
    <w:rsid w:val="00F20173"/>
    <w:rsid w:val="00F33DC8"/>
    <w:rsid w:val="00F4190F"/>
    <w:rsid w:val="00F44396"/>
    <w:rsid w:val="00F53F9A"/>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markets-ops/winter-storm-elliott/monthly-pai-charge-amounts-with-Interest-march-to-november.ashx" TargetMode="External" /><Relationship Id="rId5" Type="http://schemas.openxmlformats.org/officeDocument/2006/relationships/hyperlink" Target="https://www.pjm.com/-/media/committees-groups/committees/rmc/2023/20230725/20230725-item-04a-1---pai-settlements.ashx" TargetMode="External" /><Relationship Id="rId6" Type="http://schemas.openxmlformats.org/officeDocument/2006/relationships/hyperlink" Target="https://www.pjm.com/-/media/committees-groups/committees/rmc/2023/20230725/20230725-item-04a-2---initial-vs-final-bonus-holdback-and-cumulative-billing.ashx" TargetMode="External" /><Relationship Id="rId7" Type="http://schemas.openxmlformats.org/officeDocument/2006/relationships/hyperlink" Target="https://www.pjm.com/-/media/committees-groups/subcommittees/mss/2023/20230816/20230816-2023-settlement-c-tracking.ashx"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