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t>April 20</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615935" w:rsidRPr="00FF4814" w:rsidP="00615935">
      <w:pPr>
        <w:pStyle w:val="ListSubhead1"/>
        <w:rPr>
          <w:b w:val="0"/>
        </w:rPr>
      </w:pPr>
      <w:r>
        <w:t>DPL</w:t>
      </w:r>
      <w:r>
        <w:t xml:space="preserve"> </w:t>
      </w:r>
      <w:r>
        <w:rPr>
          <w:szCs w:val="24"/>
        </w:rPr>
        <w:t xml:space="preserve">Supplemental Projects </w:t>
      </w:r>
      <w:r>
        <w:rPr>
          <w:szCs w:val="24"/>
        </w:rPr>
        <w:br/>
      </w:r>
      <w:r>
        <w:rPr>
          <w:b w:val="0"/>
          <w:szCs w:val="24"/>
        </w:rPr>
        <w:t>DPL</w:t>
      </w:r>
      <w:r w:rsidR="000932DD">
        <w:rPr>
          <w:b w:val="0"/>
          <w:szCs w:val="24"/>
        </w:rPr>
        <w:t xml:space="preserve"> will present 1 </w:t>
      </w:r>
      <w:r w:rsidR="00BF2507">
        <w:rPr>
          <w:b w:val="0"/>
          <w:szCs w:val="24"/>
        </w:rPr>
        <w:t>updated scope</w:t>
      </w:r>
    </w:p>
    <w:p w:rsidR="00FF4814" w:rsidRPr="00AD35AA" w:rsidP="00FF4814">
      <w:pPr>
        <w:pStyle w:val="ListSubhead1"/>
        <w:spacing w:after="0"/>
        <w:rPr>
          <w:b w:val="0"/>
        </w:rPr>
      </w:pPr>
      <w:r>
        <w:t>UGI</w:t>
      </w:r>
      <w:r>
        <w:t xml:space="preserve"> </w:t>
      </w:r>
      <w:r>
        <w:rPr>
          <w:szCs w:val="24"/>
        </w:rPr>
        <w:t>Supplemental Projects</w:t>
      </w:r>
    </w:p>
    <w:p w:rsidR="00FF4814" w:rsidP="00FF4814">
      <w:pPr>
        <w:pStyle w:val="ListSubhead1"/>
        <w:numPr>
          <w:ilvl w:val="0"/>
          <w:numId w:val="0"/>
        </w:numPr>
        <w:spacing w:after="0"/>
        <w:ind w:left="360"/>
        <w:rPr>
          <w:b w:val="0"/>
        </w:rPr>
      </w:pPr>
      <w:r>
        <w:rPr>
          <w:b w:val="0"/>
          <w:szCs w:val="24"/>
        </w:rPr>
        <w:t>UGI</w:t>
      </w:r>
      <w:r>
        <w:rPr>
          <w:b w:val="0"/>
          <w:szCs w:val="24"/>
        </w:rPr>
        <w:t xml:space="preserve"> </w:t>
      </w:r>
      <w:r w:rsidRPr="00AD35AA">
        <w:rPr>
          <w:b w:val="0"/>
        </w:rPr>
        <w:t xml:space="preserve">will present </w:t>
      </w:r>
      <w:r>
        <w:rPr>
          <w:b w:val="0"/>
        </w:rPr>
        <w:t>1 need</w:t>
      </w:r>
    </w:p>
    <w:p w:rsidR="00962E3E" w:rsidP="00FF4814">
      <w:pPr>
        <w:pStyle w:val="ListSubhead1"/>
        <w:numPr>
          <w:ilvl w:val="0"/>
          <w:numId w:val="0"/>
        </w:numPr>
        <w:spacing w:after="0"/>
        <w:ind w:left="360"/>
        <w:rPr>
          <w:b w:val="0"/>
        </w:rPr>
      </w:pPr>
    </w:p>
    <w:p w:rsidR="00962E3E" w:rsidRPr="00AD35AA" w:rsidP="00962E3E">
      <w:pPr>
        <w:pStyle w:val="ListSubhead1"/>
        <w:spacing w:after="0"/>
        <w:rPr>
          <w:b w:val="0"/>
        </w:rPr>
      </w:pPr>
      <w:r>
        <w:t>JCPL</w:t>
      </w:r>
      <w:r>
        <w:t xml:space="preserve"> </w:t>
      </w:r>
      <w:r>
        <w:rPr>
          <w:szCs w:val="24"/>
        </w:rPr>
        <w:t>Supplemental Projects</w:t>
      </w:r>
    </w:p>
    <w:p w:rsidR="00962E3E" w:rsidP="00962E3E">
      <w:pPr>
        <w:pStyle w:val="ListSubhead1"/>
        <w:numPr>
          <w:ilvl w:val="0"/>
          <w:numId w:val="0"/>
        </w:numPr>
        <w:spacing w:after="0"/>
        <w:ind w:left="360"/>
        <w:rPr>
          <w:b w:val="0"/>
        </w:rPr>
      </w:pPr>
      <w:r>
        <w:rPr>
          <w:b w:val="0"/>
          <w:szCs w:val="24"/>
        </w:rPr>
        <w:t>JCPL</w:t>
      </w:r>
      <w:r>
        <w:rPr>
          <w:b w:val="0"/>
          <w:szCs w:val="24"/>
        </w:rPr>
        <w:t xml:space="preserve"> </w:t>
      </w:r>
      <w:r w:rsidRPr="00AD35AA">
        <w:rPr>
          <w:b w:val="0"/>
        </w:rPr>
        <w:t xml:space="preserve">will present </w:t>
      </w:r>
      <w:r>
        <w:rPr>
          <w:b w:val="0"/>
        </w:rPr>
        <w:t>1 need</w:t>
      </w:r>
    </w:p>
    <w:p w:rsidR="00FF4814" w:rsidRPr="00615935" w:rsidP="00FF4814">
      <w:pPr>
        <w:pStyle w:val="ListSubhead1"/>
        <w:numPr>
          <w:ilvl w:val="0"/>
          <w:numId w:val="0"/>
        </w:numPr>
        <w:spacing w:after="0"/>
        <w:ind w:left="360"/>
        <w:rPr>
          <w:b w:val="0"/>
        </w:rPr>
      </w:pPr>
    </w:p>
    <w:p w:rsidR="00615935" w:rsidP="00615935">
      <w:pPr>
        <w:pStyle w:val="ListSubhead1"/>
        <w:spacing w:after="0"/>
        <w:rPr>
          <w:b w:val="0"/>
        </w:rPr>
      </w:pPr>
      <w:r>
        <w:t>MetEd</w:t>
      </w:r>
      <w:r>
        <w:t xml:space="preserve"> </w:t>
      </w:r>
      <w:r>
        <w:rPr>
          <w:szCs w:val="24"/>
        </w:rPr>
        <w:t>Supplemental Projects</w:t>
      </w:r>
    </w:p>
    <w:p w:rsidR="00615935" w:rsidP="00615935">
      <w:pPr>
        <w:pStyle w:val="ListSubhead1"/>
        <w:numPr>
          <w:ilvl w:val="0"/>
          <w:numId w:val="0"/>
        </w:numPr>
        <w:spacing w:after="0"/>
        <w:ind w:left="360"/>
        <w:rPr>
          <w:b w:val="0"/>
        </w:rPr>
      </w:pPr>
      <w:r>
        <w:rPr>
          <w:b w:val="0"/>
        </w:rPr>
        <w:t>MetEd</w:t>
      </w:r>
      <w:r w:rsidRPr="00AD35AA">
        <w:rPr>
          <w:b w:val="0"/>
        </w:rPr>
        <w:t xml:space="preserve"> will present </w:t>
      </w:r>
      <w:r>
        <w:rPr>
          <w:b w:val="0"/>
        </w:rPr>
        <w:t>1</w:t>
      </w:r>
      <w:r w:rsidR="000932DD">
        <w:rPr>
          <w:b w:val="0"/>
        </w:rPr>
        <w:t xml:space="preserve"> need</w:t>
      </w:r>
      <w:r w:rsidR="00697A86">
        <w:rPr>
          <w:b w:val="0"/>
        </w:rPr>
        <w:t>s and 2 potential solutions</w:t>
      </w:r>
      <w:bookmarkStart w:id="2" w:name="_GoBack"/>
      <w:bookmarkEnd w:id="2"/>
      <w:r w:rsidR="00FF4814">
        <w:rPr>
          <w:b w:val="0"/>
        </w:rPr>
        <w:t xml:space="preserve"> </w:t>
      </w:r>
    </w:p>
    <w:p w:rsidR="0018111F" w:rsidP="00962E3E">
      <w:pPr>
        <w:pStyle w:val="ListSubhead1"/>
        <w:numPr>
          <w:ilvl w:val="0"/>
          <w:numId w:val="0"/>
        </w:numPr>
        <w:spacing w:after="0"/>
        <w:rPr>
          <w:b w:val="0"/>
        </w:rPr>
      </w:pPr>
    </w:p>
    <w:p w:rsidR="0018315E" w:rsidRPr="00AD35AA" w:rsidP="00AD35AA">
      <w:pPr>
        <w:pStyle w:val="ListSubhead1"/>
        <w:spacing w:after="0"/>
        <w:rPr>
          <w:b w:val="0"/>
        </w:rPr>
      </w:pPr>
      <w:r>
        <w:t>PSEG</w:t>
      </w:r>
      <w:r w:rsidR="0073200C">
        <w:t xml:space="preserve"> </w:t>
      </w:r>
      <w:r w:rsidR="007772B9">
        <w:rPr>
          <w:szCs w:val="24"/>
        </w:rPr>
        <w:t>Supplemental Projects</w:t>
      </w:r>
    </w:p>
    <w:p w:rsidR="00AD35AA" w:rsidP="00AD35AA">
      <w:pPr>
        <w:pStyle w:val="ListSubhead1"/>
        <w:numPr>
          <w:ilvl w:val="0"/>
          <w:numId w:val="0"/>
        </w:numPr>
        <w:spacing w:after="0"/>
        <w:ind w:left="360"/>
        <w:rPr>
          <w:b w:val="0"/>
          <w:szCs w:val="24"/>
        </w:rPr>
      </w:pPr>
      <w:r>
        <w:rPr>
          <w:b w:val="0"/>
          <w:szCs w:val="24"/>
        </w:rPr>
        <w:t xml:space="preserve">PSEG will present 1 </w:t>
      </w:r>
      <w:r w:rsidR="00615935">
        <w:rPr>
          <w:b w:val="0"/>
          <w:szCs w:val="24"/>
        </w:rPr>
        <w:t>potential solution</w:t>
      </w:r>
    </w:p>
    <w:p w:rsidR="00962E3E" w:rsidP="00AD35AA">
      <w:pPr>
        <w:pStyle w:val="ListSubhead1"/>
        <w:numPr>
          <w:ilvl w:val="0"/>
          <w:numId w:val="0"/>
        </w:numPr>
        <w:spacing w:after="0"/>
        <w:ind w:left="360"/>
        <w:rPr>
          <w:b w:val="0"/>
          <w:szCs w:val="24"/>
        </w:rPr>
      </w:pPr>
    </w:p>
    <w:p w:rsidR="00962E3E" w:rsidP="00962E3E">
      <w:pPr>
        <w:pStyle w:val="ListSubhead1"/>
        <w:spacing w:after="0"/>
        <w:rPr>
          <w:b w:val="0"/>
        </w:rPr>
      </w:pPr>
      <w:r>
        <w:t>Penelec</w:t>
      </w:r>
      <w:r>
        <w:t xml:space="preserve"> </w:t>
      </w:r>
      <w:r>
        <w:rPr>
          <w:szCs w:val="24"/>
        </w:rPr>
        <w:t>Supplemental Projects</w:t>
      </w:r>
    </w:p>
    <w:p w:rsidR="00962E3E" w:rsidP="00962E3E">
      <w:pPr>
        <w:pStyle w:val="ListSubhead1"/>
        <w:numPr>
          <w:ilvl w:val="0"/>
          <w:numId w:val="0"/>
        </w:numPr>
        <w:spacing w:after="0"/>
        <w:ind w:left="360"/>
        <w:rPr>
          <w:b w:val="0"/>
        </w:rPr>
      </w:pPr>
      <w:r>
        <w:rPr>
          <w:b w:val="0"/>
        </w:rPr>
        <w:t>Penelec</w:t>
      </w:r>
      <w:r w:rsidRPr="00AD35AA">
        <w:rPr>
          <w:b w:val="0"/>
        </w:rPr>
        <w:t xml:space="preserve"> will present </w:t>
      </w:r>
      <w:r>
        <w:rPr>
          <w:b w:val="0"/>
        </w:rPr>
        <w:t xml:space="preserve">2 </w:t>
      </w:r>
      <w:r>
        <w:rPr>
          <w:b w:val="0"/>
        </w:rPr>
        <w:t>potential solutions</w:t>
      </w:r>
    </w:p>
    <w:p w:rsidR="00B823FB" w:rsidP="0018111F">
      <w:pPr>
        <w:pStyle w:val="ListSubhead1"/>
        <w:numPr>
          <w:ilvl w:val="0"/>
          <w:numId w:val="0"/>
        </w:numPr>
        <w:spacing w:after="0"/>
      </w:pPr>
    </w:p>
    <w:p w:rsidR="007772B9" w:rsidP="007772B9">
      <w:pPr>
        <w:pStyle w:val="ListSubhead1"/>
        <w:spacing w:after="0"/>
      </w:pPr>
      <w:r>
        <w:t>PPL</w:t>
      </w:r>
      <w:r>
        <w:t xml:space="preserve"> Supplemental Projects</w:t>
      </w:r>
    </w:p>
    <w:p w:rsidR="007772B9" w:rsidP="007772B9">
      <w:pPr>
        <w:pStyle w:val="ListSubhead1"/>
        <w:numPr>
          <w:ilvl w:val="0"/>
          <w:numId w:val="0"/>
        </w:numPr>
        <w:spacing w:after="0"/>
        <w:ind w:left="360"/>
      </w:pPr>
      <w:r>
        <w:rPr>
          <w:b w:val="0"/>
        </w:rPr>
        <w:t>PPL</w:t>
      </w:r>
      <w:r>
        <w:rPr>
          <w:b w:val="0"/>
        </w:rPr>
        <w:t xml:space="preserve"> will present </w:t>
      </w:r>
      <w:r>
        <w:rPr>
          <w:b w:val="0"/>
        </w:rPr>
        <w:t>1 need</w:t>
      </w:r>
      <w:r w:rsidR="00FF4814">
        <w:rPr>
          <w:b w:val="0"/>
        </w:rPr>
        <w:t xml:space="preserve"> </w:t>
      </w:r>
      <w:r>
        <w:t xml:space="preserve"> </w:t>
      </w:r>
    </w:p>
    <w:p w:rsidR="000C28F4" w:rsidP="007772B9">
      <w:pPr>
        <w:pStyle w:val="ListSubhead1"/>
        <w:numPr>
          <w:ilvl w:val="0"/>
          <w:numId w:val="0"/>
        </w:numPr>
        <w:spacing w:after="0"/>
        <w:ind w:left="360"/>
      </w:pPr>
    </w:p>
    <w:p w:rsidR="000C28F4" w:rsidP="000C28F4">
      <w:pPr>
        <w:pStyle w:val="ListSubhead1"/>
        <w:spacing w:after="0"/>
      </w:pPr>
      <w:r>
        <w:t>BGE Supplemental Projects</w:t>
      </w:r>
    </w:p>
    <w:p w:rsidR="000C28F4" w:rsidP="000C28F4">
      <w:pPr>
        <w:pStyle w:val="ListSubhead1"/>
        <w:numPr>
          <w:ilvl w:val="0"/>
          <w:numId w:val="0"/>
        </w:numPr>
        <w:spacing w:after="0"/>
        <w:ind w:left="360"/>
      </w:pPr>
      <w:r>
        <w:rPr>
          <w:b w:val="0"/>
        </w:rPr>
        <w:t>BGE will present 4 needs</w:t>
      </w:r>
      <w:r>
        <w:t xml:space="preserve"> </w:t>
      </w:r>
    </w:p>
    <w:p w:rsidR="000C28F4" w:rsidP="007772B9">
      <w:pPr>
        <w:pStyle w:val="ListSubhead1"/>
        <w:numPr>
          <w:ilvl w:val="0"/>
          <w:numId w:val="0"/>
        </w:numPr>
        <w:spacing w:after="0"/>
        <w:ind w:left="360"/>
      </w:pPr>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C561FC" w:rsidP="00C561FC">
            <w:pPr>
              <w:rPr>
                <w:rFonts w:ascii="Arial Narrow" w:eastAsia="Times New Roman" w:hAnsi="Arial Narrow" w:cs="Calibri"/>
                <w:color w:val="000000"/>
                <w:sz w:val="18"/>
              </w:rPr>
            </w:pPr>
            <w:r>
              <w:rPr>
                <w:rFonts w:ascii="Arial Narrow" w:eastAsia="Times New Roman" w:hAnsi="Arial Narrow" w:cs="Calibri"/>
                <w:color w:val="000000"/>
                <w:sz w:val="18"/>
              </w:rPr>
              <w:t>May 19</w:t>
            </w:r>
            <w:r w:rsidRPr="0018267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w:t>
            </w:r>
            <w:r>
              <w:rPr>
                <w:rFonts w:ascii="Arial Narrow" w:eastAsia="Times New Roman" w:hAnsi="Arial Narrow" w:cs="Calibri"/>
                <w:color w:val="000000"/>
                <w:sz w:val="18"/>
              </w:rPr>
              <w:t>:00 p.m. – 3</w:t>
            </w:r>
            <w:r w:rsidRPr="00A746C2">
              <w:rPr>
                <w:rFonts w:ascii="Arial Narrow" w:eastAsia="Times New Roman" w:hAnsi="Arial Narrow" w:cs="Calibri"/>
                <w:color w:val="000000"/>
                <w:sz w:val="18"/>
              </w:rPr>
              <w:t>:00 p.m.</w:t>
            </w:r>
          </w:p>
        </w:tc>
        <w:tc>
          <w:tcPr>
            <w:tcW w:w="3060"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C561FC" w:rsidP="00C561FC">
            <w:pPr>
              <w:rPr>
                <w:rFonts w:ascii="Arial Narrow" w:eastAsia="Times New Roman" w:hAnsi="Arial Narrow" w:cs="Calibri"/>
                <w:color w:val="000000"/>
                <w:sz w:val="18"/>
              </w:rPr>
            </w:pPr>
            <w:r>
              <w:rPr>
                <w:rFonts w:ascii="Arial Narrow" w:eastAsia="Times New Roman" w:hAnsi="Arial Narrow" w:cs="Calibri"/>
                <w:color w:val="000000"/>
                <w:sz w:val="18"/>
              </w:rPr>
              <w:t>June 16</w:t>
            </w:r>
            <w:r w:rsidRPr="00366D1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366D15" w:rsidP="00C561FC">
            <w:pPr>
              <w:rPr>
                <w:rFonts w:ascii="Arial Narrow" w:eastAsia="Times New Roman" w:hAnsi="Arial Narrow" w:cs="Calibri"/>
                <w:color w:val="000000"/>
                <w:sz w:val="18"/>
              </w:rPr>
            </w:pPr>
            <w:r>
              <w:rPr>
                <w:rFonts w:ascii="Arial Narrow" w:eastAsia="Times New Roman" w:hAnsi="Arial Narrow" w:cs="Calibri"/>
                <w:color w:val="000000"/>
                <w:sz w:val="18"/>
              </w:rPr>
              <w:t>July 20</w:t>
            </w:r>
            <w:r w:rsidRPr="000C28F4">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7A86">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2675"/>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6A6D"/>
    <w:rsid w:val="00667DB2"/>
    <w:rsid w:val="00671F29"/>
    <w:rsid w:val="00675326"/>
    <w:rsid w:val="006934A9"/>
    <w:rsid w:val="00697A86"/>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57290"/>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0F43"/>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209B2"/>
    <w:rsid w:val="00B32567"/>
    <w:rsid w:val="00B34E3C"/>
    <w:rsid w:val="00B419D9"/>
    <w:rsid w:val="00B62597"/>
    <w:rsid w:val="00B653A7"/>
    <w:rsid w:val="00B67BCD"/>
    <w:rsid w:val="00B823FB"/>
    <w:rsid w:val="00BA3381"/>
    <w:rsid w:val="00BA6146"/>
    <w:rsid w:val="00BB18E5"/>
    <w:rsid w:val="00BB531B"/>
    <w:rsid w:val="00BC5E95"/>
    <w:rsid w:val="00BD6AA4"/>
    <w:rsid w:val="00BF2507"/>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EB78CF"/>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